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0"/>
      </w:pPr>
    </w:p>
    <w:p>
      <w:pPr>
        <w:spacing w:after="200"/>
      </w:pPr>
      <w:r>
        <w:rPr>
          <w:rFonts w:ascii="Calibri" w:cs="Calibri" w:eastAsia="Calibri" w:hAnsi="Calibri"/>
          <w:b/>
          <w:bCs/>
          <w:color w:val="C8A862"/>
          <w:sz w:val="36"/>
          <w:szCs w:val="36"/>
        </w:rPr>
        <w:t xml:space="preserve">LodeIQ</w:t>
      </w:r>
    </w:p>
    <w:p>
      <w:pPr>
        <w:spacing w:after="600"/>
      </w:pPr>
      <w:r>
        <w:rPr>
          <w:rFonts w:ascii="Calibri" w:cs="Calibri" w:eastAsia="Calibri" w:hAnsi="Calibri"/>
          <w:color w:val="94A3B8"/>
          <w:sz w:val="22"/>
          <w:szCs w:val="22"/>
        </w:rPr>
        <w:t xml:space="preserve">Battery &amp; EV Supply Chain Intelligence</w:t>
      </w:r>
    </w:p>
    <w:p>
      <w:pPr>
        <w:spacing w:after="300"/>
      </w:pPr>
      <w:r>
        <w:rPr>
          <w:rFonts w:ascii="Calibri" w:cs="Calibri" w:eastAsia="Calibri" w:hAnsi="Calibri"/>
          <w:b/>
          <w:bCs/>
          <w:color w:val="1E1E1E"/>
          <w:sz w:val="56"/>
          <w:szCs w:val="56"/>
        </w:rPr>
        <w:t xml:space="preserve">What early warning indicators exist for a cobalt supply disruption in Q3 2026?</w:t>
      </w:r>
    </w:p>
    <w:p>
      <w:pPr>
        <w:pBdr>
          <w:bottom w:val="single" w:color="C8A862" w:sz="6"/>
        </w:pBdr>
        <w:spacing w:after="300"/>
      </w:pPr>
    </w:p>
    <w:p>
      <w:pPr>
        <w:spacing w:after="60"/>
      </w:pPr>
      <w:r>
        <w:rPr>
          <w:rFonts w:ascii="Calibri" w:cs="Calibri" w:eastAsia="Calibri" w:hAnsi="Calibri"/>
          <w:color w:val="64748B"/>
          <w:sz w:val="22"/>
          <w:szCs w:val="22"/>
        </w:rPr>
        <w:t xml:space="preserve">Prepared for: </w:t>
      </w:r>
      <w:r>
        <w:rPr>
          <w:rFonts w:ascii="Calibri" w:cs="Calibri" w:eastAsia="Calibri" w:hAnsi="Calibri"/>
          <w:b/>
          <w:bCs/>
          <w:color w:val="1E1E1E"/>
          <w:sz w:val="22"/>
          <w:szCs w:val="22"/>
        </w:rPr>
        <w:t xml:space="preserve">David Park</w:t>
      </w:r>
    </w:p>
    <w:p>
      <w:pPr>
        <w:spacing w:after="200"/>
      </w:pPr>
      <w:r>
        <w:rPr>
          <w:rFonts w:ascii="Calibri" w:cs="Calibri" w:eastAsia="Calibri" w:hAnsi="Calibri"/>
          <w:color w:val="64748B"/>
          <w:sz w:val="22"/>
          <w:szCs w:val="22"/>
        </w:rPr>
        <w:t xml:space="preserve">Ridgeline Capital Partners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Report ID: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LIQ-202604-N-Q3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Generated: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2026-04-16T16:56:10.767Z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Engines: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signal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Half-Life: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SHORT (1-7 days)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Confidence: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MEDIUM (mixed source quality, some estimates or temporal lag)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Sections: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7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Sources: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5</w:t>
      </w:r>
    </w:p>
    <w:p>
      <w:pPr>
        <w:spacing w:after="300"/>
      </w:pPr>
    </w:p>
    <w:p>
      <w:pPr>
        <w:spacing w:after="20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CONFIDENTIAL — Professional Tier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300" w:before="400"/>
      </w:pPr>
      <w:r>
        <w:rPr>
          <w:rFonts w:ascii="Calibri" w:cs="Calibri" w:eastAsia="Calibri" w:hAnsi="Calibri"/>
          <w:b/>
          <w:bCs/>
          <w:color w:val="1E1E1E"/>
          <w:sz w:val="32"/>
          <w:szCs w:val="32"/>
        </w:rPr>
        <w:t xml:space="preserve">Contents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Executive Summary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Supply Concentration Risk Analysis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3.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Processing Infrastructure Vulnerability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4.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Regulatory and Trade Route Risks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5.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What to Watch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6.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Sources &amp; Citations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Bdr>
          <w:top w:val="single" w:color="CBD5E1" w:sz="1"/>
          <w:bottom w:val="single" w:color="CBD5E1" w:sz="1"/>
          <w:left w:val="single" w:color="CBD5E1" w:sz="1"/>
          <w:right w:val="single" w:color="CBD5E1" w:sz="1"/>
        </w:pBdr>
        <w:shd w:color="F8FAFC" w:val="solid"/>
        <w:spacing w:after="400"/>
      </w:pPr>
      <w:r>
        <w:rPr>
          <w:rFonts w:ascii="Calibri" w:cs="Calibri" w:eastAsia="Calibri" w:hAnsi="Calibri"/>
          <w:b/>
          <w:bCs/>
          <w:color w:val="64748B"/>
          <w:sz w:val="18"/>
          <w:szCs w:val="18"/>
        </w:rPr>
        <w:t xml:space="preserve">AI Synthesis Notice</w:t>
      </w:r>
      <w:r>
        <w:rPr>
          <w:rFonts w:ascii="Calibri" w:cs="Calibri" w:eastAsia="Calibri" w:hAnsi="Calibri"/>
          <w:i/>
          <w:iCs/>
          <w:color w:val="94A3B8"/>
          <w:sz w:val="18"/>
          <w:szCs w:val="18"/>
        </w:rPr>
        <w:t xml:space="preserve"> — This report was generated using AI synthesis of structured data sources. All claims are sourced and confidence-rated. AI-inferred connections represent analytical hypotheses, not established facts. Users should apply independent judgment.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Executive Summary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Primary Risk Factor: DRC cobalt dominance creates extreme supply concentration — 79.2% of cobalt hydroxide exports (95,000 tonnes/year) flow DRC→China, with combined Glencore-CMOC facilities controlling 62,000 t/yr capacity [1]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Pricing Signal: Cobalt prices at $56,000/t with rising trend indicates supply-demand tightening ahead of Q3 2026 [2]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Processing Bottleneck: Limited non-Chinese refining capacity (21,500 t/yr combined Finland-Canada sulfate capacity) creates secondary chokepoint for Western supply chains [13]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Regulatory Amplification: FEOC restrictions and CBAM implementation create additional disruption vectors beyond traditional geopolitical risks [11]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Data Freshness: UN Comtrade through current period, LME pricing current as of 2026 - 04 - 16. Half-life Classification: MEDIUM (1 - 4 weeks) — geopolitical and operational factors can shift rapidly.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1. Supply Concentration Risk Analysis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DRC cobalt supply exhibits extreme geographic concentration with compounding operator risk [1]. The two largest facilities control majority capacity: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229"/>
        <w:gridCol w:w="1486"/>
        <w:gridCol w:w="1040"/>
        <w:gridCol w:w="2229"/>
        <w:gridCol w:w="2376"/>
      </w:tblGrid>
      <w:tr>
        <w:trPr>
          <w:tblHeader/>
        </w:trPr>
        <w:tc>
          <w:tcPr>
            <w:tcW w:type="dxa" w:w="222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FACILITY</w:t>
            </w:r>
          </w:p>
        </w:tc>
        <w:tc>
          <w:tcPr>
            <w:tcW w:type="dxa" w:w="148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OPERATOR</w:t>
            </w:r>
          </w:p>
        </w:tc>
        <w:tc>
          <w:tcPr>
            <w:tcW w:type="dxa" w:w="10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COUNTRY</w:t>
            </w:r>
          </w:p>
        </w:tc>
        <w:tc>
          <w:tcPr>
            <w:tcW w:type="dxa" w:w="222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CAPACITY (T/YR)</w:t>
            </w:r>
          </w:p>
        </w:tc>
        <w:tc>
          <w:tcPr>
            <w:tcW w:type="dxa" w:w="23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MARKET SHARE (%)</w:t>
            </w:r>
          </w:p>
        </w:tc>
      </w:tr>
      <w:tr>
        <w:tc>
          <w:tcPr>
            <w:tcW w:type="dxa" w:w="222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Tenke Fungurume</w:t>
            </w:r>
          </w:p>
        </w:tc>
        <w:tc>
          <w:tcPr>
            <w:tcW w:type="dxa" w:w="148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CMOC Group</w:t>
            </w:r>
          </w:p>
        </w:tc>
        <w:tc>
          <w:tcPr>
            <w:tcW w:type="dxa" w:w="10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DRC</w:t>
            </w:r>
          </w:p>
        </w:tc>
        <w:tc>
          <w:tcPr>
            <w:tcW w:type="dxa" w:w="222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37,000</w:t>
            </w:r>
          </w:p>
        </w:tc>
        <w:tc>
          <w:tcPr>
            <w:tcW w:type="dxa" w:w="23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59.7</w:t>
            </w:r>
          </w:p>
        </w:tc>
      </w:tr>
      <w:tr>
        <w:tc>
          <w:tcPr>
            <w:tcW w:type="dxa" w:w="222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Mutanda Mine</w:t>
            </w:r>
          </w:p>
        </w:tc>
        <w:tc>
          <w:tcPr>
            <w:tcW w:type="dxa" w:w="148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Glencore</w:t>
            </w:r>
          </w:p>
        </w:tc>
        <w:tc>
          <w:tcPr>
            <w:tcW w:type="dxa" w:w="10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DRC</w:t>
            </w:r>
          </w:p>
        </w:tc>
        <w:tc>
          <w:tcPr>
            <w:tcW w:type="dxa" w:w="222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25,000</w:t>
            </w:r>
          </w:p>
        </w:tc>
        <w:tc>
          <w:tcPr>
            <w:tcW w:type="dxa" w:w="23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40.3</w:t>
            </w:r>
          </w:p>
        </w:tc>
      </w:tr>
      <w:tr>
        <w:tc>
          <w:tcPr>
            <w:tcW w:type="dxa" w:w="222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DRC</w:t>
            </w:r>
          </w:p>
        </w:tc>
        <w:tc>
          <w:tcPr>
            <w:tcW w:type="dxa" w:w="148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DRC</w:t>
            </w:r>
          </w:p>
        </w:tc>
        <w:tc>
          <w:tcPr>
            <w:tcW w:type="dxa" w:w="222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62,000</w:t>
            </w:r>
          </w:p>
        </w:tc>
        <w:tc>
          <w:tcPr>
            <w:tcW w:type="dxa" w:w="23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100.0</w:t>
            </w:r>
          </w:p>
        </w:tc>
      </w:tr>
    </w:tbl>
    <w:p>
      <w:pPr>
        <w:spacing w:after="160"/>
      </w:pP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Geographic HHI: 10,000 (single-country dominance). Operator HHI: 5,928 (CMOC: 59.7² + Glencore: 40.3² = 5,928) indicating very high concentration risk [11].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Trade flow concentration amplifies this risk — the DRC→China corridor represents 263,789.5 tonnes of cobalt oxides/hydroxides annually, valued at $2.66B [1].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Implications: Any operational disruption at Tenke Fungurume or Mutanda, political instability in DRC, or China-DRC trade restrictions would immediately constrain global cobalt hydroxide availability. Secondary processing concentration in China creates compounded exposure.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2. Processing Infrastructure Vulnerability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Non-Chinese cobalt sulfate refining capacity remains severely constrained [13]: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533"/>
        <w:gridCol w:w="2624"/>
        <w:gridCol w:w="900"/>
        <w:gridCol w:w="2312"/>
        <w:gridCol w:w="991"/>
      </w:tblGrid>
      <w:tr>
        <w:trPr>
          <w:tblHeader/>
        </w:trPr>
        <w:tc>
          <w:tcPr>
            <w:tcW w:type="dxa" w:w="2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FACILITY</w:t>
            </w:r>
          </w:p>
        </w:tc>
        <w:tc>
          <w:tcPr>
            <w:tcW w:type="dxa" w:w="262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OPERATOR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COUNTRY</w:t>
            </w:r>
          </w:p>
        </w:tc>
        <w:tc>
          <w:tcPr>
            <w:tcW w:type="dxa" w:w="231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CAPACITY (T/YR COSO4)</w:t>
            </w:r>
          </w:p>
        </w:tc>
        <w:tc>
          <w:tcPr>
            <w:tcW w:type="dxa" w:w="991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2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Kokkola Refinery</w:t>
            </w:r>
          </w:p>
        </w:tc>
        <w:tc>
          <w:tcPr>
            <w:tcW w:type="dxa" w:w="262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Umicore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Finland</w:t>
            </w:r>
          </w:p>
        </w:tc>
        <w:tc>
          <w:tcPr>
            <w:tcW w:type="dxa" w:w="231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15,000</w:t>
            </w:r>
          </w:p>
        </w:tc>
        <w:tc>
          <w:tcPr>
            <w:tcW w:type="dxa" w:w="991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Operating</w:t>
            </w:r>
          </w:p>
        </w:tc>
      </w:tr>
      <w:tr>
        <w:tc>
          <w:tcPr>
            <w:tcW w:type="dxa" w:w="2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Electra Cobalt Refinery</w:t>
            </w:r>
          </w:p>
        </w:tc>
        <w:tc>
          <w:tcPr>
            <w:tcW w:type="dxa" w:w="262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Electra Battery Materials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Canada</w:t>
            </w:r>
          </w:p>
        </w:tc>
        <w:tc>
          <w:tcPr>
            <w:tcW w:type="dxa" w:w="231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6,500</w:t>
            </w:r>
          </w:p>
        </w:tc>
        <w:tc>
          <w:tcPr>
            <w:tcW w:type="dxa" w:w="991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Operating</w:t>
            </w:r>
          </w:p>
        </w:tc>
      </w:tr>
      <w:tr>
        <w:tc>
          <w:tcPr>
            <w:tcW w:type="dxa" w:w="2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Non-China</w:t>
            </w:r>
          </w:p>
        </w:tc>
        <w:tc>
          <w:tcPr>
            <w:tcW w:type="dxa" w:w="262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31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21,500</w:t>
            </w:r>
          </w:p>
        </w:tc>
        <w:tc>
          <w:tcPr>
            <w:tcW w:type="dxa" w:w="991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China processes 1.7M tonnes cobalt sulfate annually across 224 trade corridors versus 21,500 tonnes Western capacity — a 79:1 ratio [1].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Electra Battery Materials' last filing dates to March 2024, creating information lag on operational status [14].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Implications: Western battery manufacturers face severe processing bottlenecks. Any disruption to Finland or Canadian facilities would force greater reliance on Chinese processors, increasing FEOC exposure under IRA Section 30D restrictions.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3. Regulatory and Trade Route Risks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FEOC restrictions create regulatory disruption pathways beyond traditional supply risks [11]. Current trade flows show heavy China exposure: - China→Japan: 12,000 t/yr cobalt sulfate [1] - China→South Korea: 15,000 t/yr cobalt sulfate [1] - Belgium→Finland: 8,000 t/yr (European processing corridor) [1]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IRA Section 30D(d) (7) FEOC exclusions become enforceable in 2025, potentially disrupting established Asian supply chains [11].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CBAM scope expansion review for battery raw materials adds carbon cost vectors to DRC→EU flows [11].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Implications: Regulatory compliance costs and route restrictions will compound physical supply constraints. Alternative routing through non-FEOC processors requires infrastructure that currently operates at 1.3% of Chinese processing scale.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What to Watch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30-Day Alerts: - Monitor DRC political stability indicators and CMOC/Glencore operational updates — any facility maintenance or political tensions immediately affect 62% of hydroxide capacity - Track cobalt price momentum above $60,000/t threshold, indicating supply-demand imbalance acceleration - Watch for Electra Battery Materials operational updates given 13-month filing lag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90-Day Alerts: - FEOC implementation enforcement actions in US EV supply chains — potential for supply chain reconfiguration - Finland-Belgium trade corridor volumes as indicator of European processing capacity utilization - Chinese cobalt sulfate export restrictions or quotas as trade policy escalation signal</w:t>
      </w:r>
    </w:p>
    <w:p>
      <w:pPr>
        <w:pBdr>
          <w:top w:val="single" w:color="CBD5E1" w:sz="1"/>
        </w:pBdr>
        <w:spacing w:before="400"/>
      </w:pPr>
    </w:p>
    <w:p>
      <w:pPr>
        <w:pStyle w:val="Heading2"/>
        <w:spacing w:after="200" w:before="2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Sources &amp; Citations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[1]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UN Comtrade. Bilateral trade flow data. Retrieved 2026-04-16 (2026)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[2]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LME. Cobalt settlement prices. Data period: Apr 2026. Retrieved 2026-04-16 (2026)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[11]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LodeIQ Knowledge Graph. Retrieved 2026-04-16 (2026)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[13]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LodeIQ Knowledge Graph. Retrieved 2026-04-16 (2026)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[14]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LodeIQ Knowledge Graph. Retrieved 2026-04-16 (2026)</w:t>
      </w:r>
    </w:p>
    <w:p>
      <w:pPr>
        <w:pBdr>
          <w:top w:val="single" w:color="E5E7EB" w:sz="1"/>
        </w:pBdr>
        <w:spacing w:before="400"/>
      </w:pPr>
    </w:p>
    <w:p>
      <w:pPr>
        <w:spacing w:after="120"/>
      </w:pPr>
      <w:r>
        <w:rPr>
          <w:rFonts w:ascii="Calibri" w:cs="Calibri" w:eastAsia="Calibri" w:hAnsi="Calibri"/>
          <w:i/>
          <w:iCs/>
          <w:color w:val="9CA3AF"/>
          <w:sz w:val="16"/>
          <w:szCs w:val="16"/>
        </w:rPr>
        <w:t xml:space="preserve">Mutual Intelligence Disclosure — This content is produced by LodeIQ Inc. for informational purposes only. It does not constitute investment advice, legal advice, or a recommendation to buy, sell, or hold any security, commodity, or financial instrument. Users should verify critical data points independently before making material business decisions.</w:t>
      </w:r>
    </w:p>
    <w:p>
      <w:pPr>
        <w:spacing w:before="200"/>
        <w:jc w:val="center"/>
      </w:pPr>
      <w:r>
        <w:rPr>
          <w:rFonts w:ascii="Calibri" w:cs="Calibri" w:eastAsia="Calibri" w:hAnsi="Calibri"/>
          <w:color w:val="9CA3AF"/>
          <w:sz w:val="16"/>
          <w:szCs w:val="16"/>
        </w:rPr>
        <w:t xml:space="preserve">LodeIQ — Ontology-driven supply chain intelligence. Generated 2026-04-16T16:56Z.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CA3AF"/>
        <w:sz w:val="16"/>
        <w:szCs w:val="16"/>
      </w:rPr>
      <w:t xml:space="preserve">LIQ-202604-N-Q3</w:t>
    </w:r>
    <w:r>
      <w:rPr>
        <w:rFonts w:ascii="Calibri" w:cs="Calibri" w:eastAsia="Calibri" w:hAnsi="Calibri"/>
        <w:color w:val="9CA3AF"/>
        <w:sz w:val="16"/>
        <w:szCs w:val="16"/>
      </w:rPr>
      <w:t xml:space="preserve">      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CA3AF"/>
        <w:sz w:val="16"/>
        <w:szCs w:val="16"/>
      </w:rPr>
      <w:t xml:space="preserve">          2026-04-16T16:56:10.767Z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rPr>
        <w:rFonts w:ascii="Calibri" w:cs="Calibri" w:eastAsia="Calibri" w:hAnsi="Calibri"/>
        <w:b/>
        <w:bCs/>
        <w:color w:val="C8A862"/>
        <w:sz w:val="16"/>
        <w:szCs w:val="16"/>
      </w:rPr>
      <w:t xml:space="preserve">LodeIQ</w:t>
    </w:r>
    <w:r>
      <w:rPr>
        <w:rFonts w:ascii="Calibri" w:cs="Calibri" w:eastAsia="Calibri" w:hAnsi="Calibri"/>
        <w:color w:val="9CA3AF"/>
        <w:sz w:val="16"/>
        <w:szCs w:val="16"/>
      </w:rPr>
      <w:t xml:space="preserve">  |  What early warning indicators exist for a cobalt supply disruption in Q3 2026?</w:t>
    </w:r>
    <w:r>
      <w:rPr>
        <w:rFonts w:ascii="Calibri" w:cs="Calibri" w:eastAsia="Calibri" w:hAnsi="Calibri"/>
        <w:b/>
        <w:bCs/>
        <w:color w:val="C8A862"/>
        <w:sz w:val="16"/>
        <w:szCs w:val="16"/>
      </w:rPr>
      <w:t xml:space="preserve">          CONFIDENTIAL — Professional Tier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2026-04-16T16:56:10.783Z</dcterms:created>
  <dcterms:modified xsi:type="dcterms:W3CDTF">2026-04-16T16:56:10.783Z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