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2400"/>
      </w:pPr>
    </w:p>
    <w:p>
      <w:pPr>
        <w:spacing w:after="200"/>
      </w:pPr>
      <w:r>
        <w:rPr>
          <w:rFonts w:ascii="Calibri" w:cs="Calibri" w:eastAsia="Calibri" w:hAnsi="Calibri"/>
          <w:b/>
          <w:bCs/>
          <w:color w:val="C8A862"/>
          <w:sz w:val="36"/>
          <w:szCs w:val="36"/>
        </w:rPr>
        <w:t xml:space="preserve">LodeIQ</w:t>
      </w:r>
    </w:p>
    <w:p>
      <w:pPr>
        <w:spacing w:after="600"/>
      </w:pPr>
      <w:r>
        <w:rPr>
          <w:rFonts w:ascii="Calibri" w:cs="Calibri" w:eastAsia="Calibri" w:hAnsi="Calibri"/>
          <w:color w:val="94A3B8"/>
          <w:sz w:val="22"/>
          <w:szCs w:val="22"/>
        </w:rPr>
        <w:t xml:space="preserve">Battery &amp; EV Supply Chain Intelligence</w:t>
      </w:r>
    </w:p>
    <w:p>
      <w:pPr>
        <w:spacing w:after="300"/>
      </w:pPr>
      <w:r>
        <w:rPr>
          <w:rFonts w:ascii="Calibri" w:cs="Calibri" w:eastAsia="Calibri" w:hAnsi="Calibri"/>
          <w:b/>
          <w:bCs/>
          <w:color w:val="1E1E1E"/>
          <w:sz w:val="56"/>
          <w:szCs w:val="56"/>
        </w:rPr>
        <w:t xml:space="preserve">Calculate the CBAM cost impact for importing battery-grade lithium hydroxide into the EU from China.</w:t>
      </w:r>
    </w:p>
    <w:p>
      <w:pPr>
        <w:pBdr>
          <w:bottom w:val="single" w:color="C8A862" w:sz="6"/>
        </w:pBdr>
        <w:spacing w:after="300"/>
      </w:pPr>
    </w:p>
    <w:p>
      <w:pPr>
        <w:spacing w:after="60"/>
      </w:pPr>
      <w:r>
        <w:rPr>
          <w:rFonts w:ascii="Calibri" w:cs="Calibri" w:eastAsia="Calibri" w:hAnsi="Calibri"/>
          <w:color w:val="64748B"/>
          <w:sz w:val="22"/>
          <w:szCs w:val="22"/>
        </w:rPr>
        <w:t xml:space="preserve">Prepared for: </w:t>
      </w:r>
      <w:r>
        <w:rPr>
          <w:rFonts w:ascii="Calibri" w:cs="Calibri" w:eastAsia="Calibri" w:hAnsi="Calibri"/>
          <w:b/>
          <w:bCs/>
          <w:color w:val="1E1E1E"/>
          <w:sz w:val="22"/>
          <w:szCs w:val="22"/>
        </w:rPr>
        <w:t xml:space="preserve">Maria Santos</w:t>
      </w:r>
    </w:p>
    <w:p>
      <w:pPr>
        <w:spacing w:after="200"/>
      </w:pPr>
      <w:r>
        <w:rPr>
          <w:rFonts w:ascii="Calibri" w:cs="Calibri" w:eastAsia="Calibri" w:hAnsi="Calibri"/>
          <w:color w:val="64748B"/>
          <w:sz w:val="22"/>
          <w:szCs w:val="22"/>
        </w:rPr>
        <w:t xml:space="preserve">Volta Cathode Materials</w:t>
      </w:r>
    </w:p>
    <w:p>
      <w:pPr>
        <w:spacing w:after="40"/>
      </w:pPr>
      <w:r>
        <w:rPr>
          <w:rFonts w:ascii="Calibri" w:cs="Calibri" w:eastAsia="Calibri" w:hAnsi="Calibri"/>
          <w:color w:val="64748B"/>
          <w:sz w:val="20"/>
          <w:szCs w:val="20"/>
        </w:rPr>
        <w:t xml:space="preserve">Report ID:  </w:t>
      </w:r>
      <w:r>
        <w:rPr>
          <w:rFonts w:ascii="Calibri" w:cs="Calibri" w:eastAsia="Calibri" w:hAnsi="Calibri"/>
          <w:b/>
          <w:bCs/>
          <w:color w:val="1E1E1E"/>
          <w:sz w:val="20"/>
          <w:szCs w:val="20"/>
        </w:rPr>
        <w:t xml:space="preserve">LIQ-202604-M-EU</w:t>
      </w:r>
    </w:p>
    <w:p>
      <w:pPr>
        <w:spacing w:after="40"/>
      </w:pPr>
      <w:r>
        <w:rPr>
          <w:rFonts w:ascii="Calibri" w:cs="Calibri" w:eastAsia="Calibri" w:hAnsi="Calibri"/>
          <w:color w:val="64748B"/>
          <w:sz w:val="20"/>
          <w:szCs w:val="20"/>
        </w:rPr>
        <w:t xml:space="preserve">Generated:  </w:t>
      </w:r>
      <w:r>
        <w:rPr>
          <w:rFonts w:ascii="Calibri" w:cs="Calibri" w:eastAsia="Calibri" w:hAnsi="Calibri"/>
          <w:b/>
          <w:bCs/>
          <w:color w:val="1E1E1E"/>
          <w:sz w:val="20"/>
          <w:szCs w:val="20"/>
        </w:rPr>
        <w:t xml:space="preserve">2026-04-16T16:53:51.187Z</w:t>
      </w:r>
    </w:p>
    <w:p>
      <w:pPr>
        <w:spacing w:after="40"/>
      </w:pPr>
      <w:r>
        <w:rPr>
          <w:rFonts w:ascii="Calibri" w:cs="Calibri" w:eastAsia="Calibri" w:hAnsi="Calibri"/>
          <w:color w:val="64748B"/>
          <w:sz w:val="20"/>
          <w:szCs w:val="20"/>
        </w:rPr>
        <w:t xml:space="preserve">Engines:  </w:t>
      </w:r>
      <w:r>
        <w:rPr>
          <w:rFonts w:ascii="Calibri" w:cs="Calibri" w:eastAsia="Calibri" w:hAnsi="Calibri"/>
          <w:b/>
          <w:bCs/>
          <w:color w:val="1E1E1E"/>
          <w:sz w:val="20"/>
          <w:szCs w:val="20"/>
        </w:rPr>
        <w:t xml:space="preserve">regulation</w:t>
      </w:r>
    </w:p>
    <w:p>
      <w:pPr>
        <w:spacing w:after="40"/>
      </w:pPr>
      <w:r>
        <w:rPr>
          <w:rFonts w:ascii="Calibri" w:cs="Calibri" w:eastAsia="Calibri" w:hAnsi="Calibri"/>
          <w:color w:val="64748B"/>
          <w:sz w:val="20"/>
          <w:szCs w:val="20"/>
        </w:rPr>
        <w:t xml:space="preserve">Half-Life:  </w:t>
      </w:r>
      <w:r>
        <w:rPr>
          <w:rFonts w:ascii="Calibri" w:cs="Calibri" w:eastAsia="Calibri" w:hAnsi="Calibri"/>
          <w:b/>
          <w:bCs/>
          <w:color w:val="1E1E1E"/>
          <w:sz w:val="20"/>
          <w:szCs w:val="20"/>
        </w:rPr>
        <w:t xml:space="preserve">LONG (1-6 months)</w:t>
      </w:r>
    </w:p>
    <w:p>
      <w:pPr>
        <w:spacing w:after="40"/>
      </w:pPr>
      <w:r>
        <w:rPr>
          <w:rFonts w:ascii="Calibri" w:cs="Calibri" w:eastAsia="Calibri" w:hAnsi="Calibri"/>
          <w:color w:val="64748B"/>
          <w:sz w:val="20"/>
          <w:szCs w:val="20"/>
        </w:rPr>
        <w:t xml:space="preserve">Confidence:  </w:t>
      </w:r>
      <w:r>
        <w:rPr>
          <w:rFonts w:ascii="Calibri" w:cs="Calibri" w:eastAsia="Calibri" w:hAnsi="Calibri"/>
          <w:b/>
          <w:bCs/>
          <w:color w:val="1E1E1E"/>
          <w:sz w:val="20"/>
          <w:szCs w:val="20"/>
        </w:rPr>
        <w:t xml:space="preserve">MEDIUM (mixed source quality, some estimates or temporal lag)</w:t>
      </w:r>
    </w:p>
    <w:p>
      <w:pPr>
        <w:spacing w:after="40"/>
      </w:pPr>
      <w:r>
        <w:rPr>
          <w:rFonts w:ascii="Calibri" w:cs="Calibri" w:eastAsia="Calibri" w:hAnsi="Calibri"/>
          <w:color w:val="64748B"/>
          <w:sz w:val="20"/>
          <w:szCs w:val="20"/>
        </w:rPr>
        <w:t xml:space="preserve">Sections:  </w:t>
      </w:r>
      <w:r>
        <w:rPr>
          <w:rFonts w:ascii="Calibri" w:cs="Calibri" w:eastAsia="Calibri" w:hAnsi="Calibri"/>
          <w:b/>
          <w:bCs/>
          <w:color w:val="1E1E1E"/>
          <w:sz w:val="20"/>
          <w:szCs w:val="20"/>
        </w:rPr>
        <w:t xml:space="preserve">7</w:t>
      </w:r>
    </w:p>
    <w:p>
      <w:pPr>
        <w:spacing w:after="40"/>
      </w:pPr>
      <w:r>
        <w:rPr>
          <w:rFonts w:ascii="Calibri" w:cs="Calibri" w:eastAsia="Calibri" w:hAnsi="Calibri"/>
          <w:color w:val="64748B"/>
          <w:sz w:val="20"/>
          <w:szCs w:val="20"/>
        </w:rPr>
        <w:t xml:space="preserve">Sources:  </w:t>
      </w:r>
      <w:r>
        <w:rPr>
          <w:rFonts w:ascii="Calibri" w:cs="Calibri" w:eastAsia="Calibri" w:hAnsi="Calibri"/>
          <w:b/>
          <w:bCs/>
          <w:color w:val="1E1E1E"/>
          <w:sz w:val="20"/>
          <w:szCs w:val="20"/>
        </w:rPr>
        <w:t xml:space="preserve">4</w:t>
      </w:r>
    </w:p>
    <w:p>
      <w:pPr>
        <w:spacing w:after="300"/>
      </w:pPr>
    </w:p>
    <w:p>
      <w:pPr>
        <w:spacing w:after="200"/>
      </w:pPr>
      <w:r>
        <w:rPr>
          <w:rFonts w:ascii="Calibri" w:cs="Calibri" w:eastAsia="Calibri" w:hAnsi="Calibri"/>
          <w:b/>
          <w:bCs/>
          <w:color w:val="C8A862"/>
          <w:sz w:val="20"/>
          <w:szCs w:val="20"/>
        </w:rPr>
        <w:t xml:space="preserve">CONFIDENTIAL — Professional Tier</w:t>
      </w:r>
    </w:p>
    <w:p>
      <w:pPr>
        <w:sectPr>
          <w:pgSz w:w="12240" w:h="15840" w:orient="portrait"/>
          <w:pgMar w:top="1440" w:right="1440" w:bottom="1440" w:left="1440" w:header="708" w:footer="708" w:gutter="0"/>
          <w:pgNumType/>
          <w:docGrid w:linePitch="360"/>
        </w:sectPr>
      </w:pPr>
    </w:p>
    <w:p>
      <w:pPr>
        <w:pStyle w:val="Heading1"/>
        <w:spacing w:after="300" w:before="400"/>
      </w:pPr>
      <w:r>
        <w:rPr>
          <w:rFonts w:ascii="Calibri" w:cs="Calibri" w:eastAsia="Calibri" w:hAnsi="Calibri"/>
          <w:b/>
          <w:bCs/>
          <w:color w:val="1E1E1E"/>
          <w:sz w:val="32"/>
          <w:szCs w:val="32"/>
        </w:rPr>
        <w:t xml:space="preserve">Contents</w:t>
      </w:r>
    </w:p>
    <w:p>
      <w:pPr>
        <w:spacing w:after="100"/>
      </w:pPr>
      <w:r>
        <w:rPr>
          <w:rFonts w:ascii="Calibri" w:cs="Calibri" w:eastAsia="Calibri" w:hAnsi="Calibri"/>
          <w:b/>
          <w:bCs/>
          <w:color w:val="C8A862"/>
          <w:sz w:val="22"/>
          <w:szCs w:val="22"/>
        </w:rPr>
        <w:t xml:space="preserve">1.  </w:t>
      </w:r>
      <w:r>
        <w:rPr>
          <w:rFonts w:ascii="Calibri" w:cs="Calibri" w:eastAsia="Calibri" w:hAnsi="Calibri"/>
          <w:color w:val="1E1E1E"/>
          <w:sz w:val="22"/>
          <w:szCs w:val="22"/>
        </w:rPr>
        <w:t xml:space="preserve">Executive Summary</w:t>
      </w:r>
    </w:p>
    <w:p>
      <w:pPr>
        <w:spacing w:after="100"/>
      </w:pPr>
      <w:r>
        <w:rPr>
          <w:rFonts w:ascii="Calibri" w:cs="Calibri" w:eastAsia="Calibri" w:hAnsi="Calibri"/>
          <w:b/>
          <w:bCs/>
          <w:color w:val="C8A862"/>
          <w:sz w:val="22"/>
          <w:szCs w:val="22"/>
        </w:rPr>
        <w:t xml:space="preserve">2.  </w:t>
      </w:r>
      <w:r>
        <w:rPr>
          <w:rFonts w:ascii="Calibri" w:cs="Calibri" w:eastAsia="Calibri" w:hAnsi="Calibri"/>
          <w:color w:val="1E1E1E"/>
          <w:sz w:val="22"/>
          <w:szCs w:val="22"/>
        </w:rPr>
        <w:t xml:space="preserve">CBAM Regulatory Framework &amp; Lithium Hydroxide Classification</w:t>
      </w:r>
    </w:p>
    <w:p>
      <w:pPr>
        <w:spacing w:after="100"/>
      </w:pPr>
      <w:r>
        <w:rPr>
          <w:rFonts w:ascii="Calibri" w:cs="Calibri" w:eastAsia="Calibri" w:hAnsi="Calibri"/>
          <w:b/>
          <w:bCs/>
          <w:color w:val="C8A862"/>
          <w:sz w:val="22"/>
          <w:szCs w:val="22"/>
        </w:rPr>
        <w:t xml:space="preserve">3.  </w:t>
      </w:r>
      <w:r>
        <w:rPr>
          <w:rFonts w:ascii="Calibri" w:cs="Calibri" w:eastAsia="Calibri" w:hAnsi="Calibri"/>
          <w:color w:val="1E1E1E"/>
          <w:sz w:val="22"/>
          <w:szCs w:val="22"/>
        </w:rPr>
        <w:t xml:space="preserve">Cost Impact Scenario: Hypothetical Embedded Carbon Analysis</w:t>
      </w:r>
    </w:p>
    <w:p>
      <w:pPr>
        <w:spacing w:after="100"/>
      </w:pPr>
      <w:r>
        <w:rPr>
          <w:rFonts w:ascii="Calibri" w:cs="Calibri" w:eastAsia="Calibri" w:hAnsi="Calibri"/>
          <w:b/>
          <w:bCs/>
          <w:color w:val="C8A862"/>
          <w:sz w:val="22"/>
          <w:szCs w:val="22"/>
        </w:rPr>
        <w:t xml:space="preserve">4.  </w:t>
      </w:r>
      <w:r>
        <w:rPr>
          <w:rFonts w:ascii="Calibri" w:cs="Calibri" w:eastAsia="Calibri" w:hAnsi="Calibri"/>
          <w:color w:val="1E1E1E"/>
          <w:sz w:val="22"/>
          <w:szCs w:val="22"/>
        </w:rPr>
        <w:t xml:space="preserve">China→EU Trade Flow &amp; Competitive Exposure</w:t>
      </w:r>
    </w:p>
    <w:p>
      <w:pPr>
        <w:spacing w:after="100"/>
      </w:pPr>
      <w:r>
        <w:rPr>
          <w:rFonts w:ascii="Calibri" w:cs="Calibri" w:eastAsia="Calibri" w:hAnsi="Calibri"/>
          <w:b/>
          <w:bCs/>
          <w:color w:val="C8A862"/>
          <w:sz w:val="22"/>
          <w:szCs w:val="22"/>
        </w:rPr>
        <w:t xml:space="preserve">5.  </w:t>
      </w:r>
      <w:r>
        <w:rPr>
          <w:rFonts w:ascii="Calibri" w:cs="Calibri" w:eastAsia="Calibri" w:hAnsi="Calibri"/>
          <w:color w:val="1E1E1E"/>
          <w:sz w:val="22"/>
          <w:szCs w:val="22"/>
        </w:rPr>
        <w:t xml:space="preserve">Regulatory Timeline &amp; Compliance Requirements</w:t>
      </w:r>
    </w:p>
    <w:p>
      <w:pPr>
        <w:spacing w:after="100"/>
      </w:pPr>
      <w:r>
        <w:rPr>
          <w:rFonts w:ascii="Calibri" w:cs="Calibri" w:eastAsia="Calibri" w:hAnsi="Calibri"/>
          <w:b/>
          <w:bCs/>
          <w:color w:val="C8A862"/>
          <w:sz w:val="22"/>
          <w:szCs w:val="22"/>
        </w:rPr>
        <w:t xml:space="preserve">6.  </w:t>
      </w:r>
      <w:r>
        <w:rPr>
          <w:rFonts w:ascii="Calibri" w:cs="Calibri" w:eastAsia="Calibri" w:hAnsi="Calibri"/>
          <w:color w:val="1E1E1E"/>
          <w:sz w:val="22"/>
          <w:szCs w:val="22"/>
        </w:rPr>
        <w:t xml:space="preserve">What to Watch</w:t>
      </w:r>
    </w:p>
    <w:p>
      <w:pPr>
        <w:spacing w:after="100"/>
      </w:pPr>
      <w:r>
        <w:rPr>
          <w:rFonts w:ascii="Calibri" w:cs="Calibri" w:eastAsia="Calibri" w:hAnsi="Calibri"/>
          <w:b/>
          <w:bCs/>
          <w:color w:val="C8A862"/>
          <w:sz w:val="22"/>
          <w:szCs w:val="22"/>
        </w:rPr>
        <w:t xml:space="preserve">7.  </w:t>
      </w:r>
      <w:r>
        <w:rPr>
          <w:rFonts w:ascii="Calibri" w:cs="Calibri" w:eastAsia="Calibri" w:hAnsi="Calibri"/>
          <w:color w:val="1E1E1E"/>
          <w:sz w:val="22"/>
          <w:szCs w:val="22"/>
        </w:rPr>
        <w:t xml:space="preserve">Sources &amp; Citations</w:t>
      </w:r>
    </w:p>
    <w:p>
      <w:pPr>
        <w:sectPr>
          <w:pgSz w:w="12240" w:h="15840" w:orient="portrait"/>
          <w:pgMar w:top="1440" w:right="1440" w:bottom="1440" w:left="1440" w:header="708" w:footer="708" w:gutter="0"/>
          <w:pgNumType/>
          <w:docGrid w:linePitch="360"/>
        </w:sectPr>
      </w:pPr>
    </w:p>
    <w:p>
      <w:pPr>
        <w:pBdr>
          <w:top w:val="single" w:color="CBD5E1" w:sz="1"/>
          <w:bottom w:val="single" w:color="CBD5E1" w:sz="1"/>
          <w:left w:val="single" w:color="CBD5E1" w:sz="1"/>
          <w:right w:val="single" w:color="CBD5E1" w:sz="1"/>
        </w:pBdr>
        <w:shd w:color="F8FAFC" w:val="solid"/>
        <w:spacing w:after="400"/>
      </w:pPr>
      <w:r>
        <w:rPr>
          <w:rFonts w:ascii="Calibri" w:cs="Calibri" w:eastAsia="Calibri" w:hAnsi="Calibri"/>
          <w:b/>
          <w:bCs/>
          <w:color w:val="64748B"/>
          <w:sz w:val="18"/>
          <w:szCs w:val="18"/>
        </w:rPr>
        <w:t xml:space="preserve">AI Synthesis Notice</w:t>
      </w:r>
      <w:r>
        <w:rPr>
          <w:rFonts w:ascii="Calibri" w:cs="Calibri" w:eastAsia="Calibri" w:hAnsi="Calibri"/>
          <w:i/>
          <w:iCs/>
          <w:color w:val="94A3B8"/>
          <w:sz w:val="18"/>
          <w:szCs w:val="18"/>
        </w:rPr>
        <w:t xml:space="preserve"> — This report was generated using AI synthesis of structured data sources. All claims are sourced and confidence-rated. AI-inferred connections represent analytical hypotheses, not established facts. Users should apply independent judgment.</w:t>
      </w:r>
    </w:p>
    <w:p>
      <w:pPr>
        <w:pStyle w:val="Heading2"/>
        <w:spacing w:after="160" w:before="360"/>
      </w:pPr>
      <w:r>
        <w:rPr>
          <w:rFonts w:ascii="Calibri" w:cs="Calibri" w:eastAsia="Calibri" w:hAnsi="Calibri"/>
          <w:b/>
          <w:bCs/>
          <w:sz w:val="32"/>
          <w:szCs w:val="32"/>
        </w:rPr>
        <w:t xml:space="preserve">Executive Summary</w:t>
      </w:r>
    </w:p>
    <w:p>
      <w:pPr>
        <w:pStyle w:val="ListParagraph"/>
        <w:numPr>
          <w:ilvl w:val="0"/>
          <w:numId w:val="1"/>
        </w:numPr>
        <w:spacing w:after="80"/>
      </w:pPr>
      <w:r>
        <w:rPr>
          <w:rFonts w:ascii="Calibri" w:cs="Calibri" w:eastAsia="Calibri" w:hAnsi="Calibri"/>
          <w:sz w:val="22"/>
          <w:szCs w:val="22"/>
        </w:rPr>
        <w:t xml:space="preserve">CBAM cost exposure is material but currently in the transitional phase with zero certificate purchase obligation. Battery-grade lithium hydroxide (LiOH, HS 2825.10) imported from China to the EU faces EU Regulation 2023/956 CBAM requirements, but the transitional reporting period (Oct 2023–Dec 2025) requires only quarterly emissions declarations, not financial outlay.  [5]</w:t>
      </w:r>
    </w:p>
    <w:p>
      <w:pPr>
        <w:pStyle w:val="ListParagraph"/>
        <w:numPr>
          <w:ilvl w:val="0"/>
          <w:numId w:val="1"/>
        </w:numPr>
        <w:spacing w:after="80"/>
      </w:pPr>
      <w:r>
        <w:rPr>
          <w:rFonts w:ascii="Calibri" w:cs="Calibri" w:eastAsia="Calibri" w:hAnsi="Calibri"/>
          <w:sz w:val="22"/>
          <w:szCs w:val="22"/>
        </w:rPr>
        <w:t xml:space="preserve">Current pricing context: LiOH stands at $23,000/t as of today (2026 - 04 - 16), with underlying embedded carbon intensity data unavailable in the knowledge graph. Without published carbon intensity coefficients for Chinese LiOH production (typically 5–15 tCO2/t for lithium processing), a precise EUR/t cost cannot be calculated.  [6]</w:t>
      </w:r>
    </w:p>
    <w:p>
      <w:pPr>
        <w:pStyle w:val="ListParagraph"/>
        <w:numPr>
          <w:ilvl w:val="0"/>
          <w:numId w:val="1"/>
        </w:numPr>
        <w:spacing w:after="80"/>
      </w:pPr>
      <w:r>
        <w:rPr>
          <w:rFonts w:ascii="Calibri" w:cs="Calibri" w:eastAsia="Calibri" w:hAnsi="Calibri"/>
          <w:sz w:val="22"/>
          <w:szCs w:val="22"/>
        </w:rPr>
        <w:t xml:space="preserve">Definitive CBAM phase begins 2026: importers must purchase CBAM certificates equal to embedded emissions minus any carbon price already paid in origin country. At EU ETS reference price of EUR 50–90/tonne CO2e (as of 2024), a hypothetical 10 tCO2/t LiOH batch would cost EUR 500–900/t in certificates alone—a 2–4% cost adder on top of material cost.  [5]</w:t>
      </w:r>
    </w:p>
    <w:p>
      <w:pPr>
        <w:pStyle w:val="ListParagraph"/>
        <w:numPr>
          <w:ilvl w:val="0"/>
          <w:numId w:val="1"/>
        </w:numPr>
        <w:spacing w:after="80"/>
      </w:pPr>
      <w:r>
        <w:rPr>
          <w:rFonts w:ascii="Calibri" w:cs="Calibri" w:eastAsia="Calibri" w:hAnsi="Calibri"/>
          <w:sz w:val="22"/>
          <w:szCs w:val="22"/>
        </w:rPr>
        <w:t xml:space="preserve">China→Germany LiOH bilateral flow is the largest tracked EU-bound route at 18,000 t/yr; China→South Korea is 42,000 t/yr, indicating that most Chinese LiOH export volume bypasses EU via alternative Asian routes.  [9]</w:t>
      </w:r>
    </w:p>
    <w:p>
      <w:pPr>
        <w:pStyle w:val="ListParagraph"/>
        <w:numPr>
          <w:ilvl w:val="0"/>
          <w:numId w:val="1"/>
        </w:numPr>
        <w:spacing w:after="80"/>
      </w:pPr>
      <w:r>
        <w:rPr>
          <w:rFonts w:ascii="Calibri" w:cs="Calibri" w:eastAsia="Calibri" w:hAnsi="Calibri"/>
          <w:sz w:val="22"/>
          <w:szCs w:val="22"/>
        </w:rPr>
        <w:t xml:space="preserve">Data freshness: Regulatory framework data current as of Apr 2026; pricing snapshot Apr 16, 2026; trade flow data periodicity unspecified in graph; carbon intensity coefficients NOT available in knowledge graph. Report half-life: MEDIUM (1–4 weeks, pending CBAM certificate pricing updates and refined carbon accounting rules).</w:t>
      </w:r>
    </w:p>
    <w:p>
      <w:pPr>
        <w:pStyle w:val="Heading2"/>
        <w:spacing w:after="160" w:before="360"/>
      </w:pPr>
      <w:r>
        <w:rPr>
          <w:rFonts w:ascii="Calibri" w:cs="Calibri" w:eastAsia="Calibri" w:hAnsi="Calibri"/>
          <w:b/>
          <w:bCs/>
          <w:sz w:val="32"/>
          <w:szCs w:val="32"/>
        </w:rPr>
        <w:t xml:space="preserve">1. CBAM Regulatory Framework &amp; Lithium Hydroxide Classification</w:t>
      </w:r>
    </w:p>
    <w:p>
      <w:pPr>
        <w:spacing w:after="160" w:line="276"/>
      </w:pPr>
      <w:r>
        <w:rPr>
          <w:rFonts w:ascii="Calibri" w:cs="Calibri" w:eastAsia="Calibri" w:hAnsi="Calibri"/>
          <w:sz w:val="22"/>
          <w:szCs w:val="22"/>
        </w:rPr>
        <w:t xml:space="preserve">Battery-grade lithium hydroxide (LiOH) is classified under HS code 2825.10 ("Lithium hydroxide and lithium oxide") and is subject to EU CBAM under Article 3 of EU Regulation 2023/956. [5] The mechanism operates in two phases:</w:t>
      </w:r>
    </w:p>
    <w:p>
      <w:pPr>
        <w:spacing w:after="160" w:line="276"/>
      </w:pPr>
      <w:r>
        <w:rPr>
          <w:rFonts w:ascii="Calibri" w:cs="Calibri" w:eastAsia="Calibri" w:hAnsi="Calibri"/>
          <w:sz w:val="22"/>
          <w:szCs w:val="22"/>
        </w:rPr>
        <w:t xml:space="preserve">Transitional Phase (Oct 2023–Dec 2025): Importers must report embedded emissions of imported goods quarterly but pay zero CBAM certificates. This period allows supply chains to establish baseline carbon accounting without immediate cost impact.  [5]</w:t>
      </w:r>
    </w:p>
    <w:p>
      <w:pPr>
        <w:spacing w:after="160" w:line="276"/>
      </w:pPr>
      <w:r>
        <w:rPr>
          <w:rFonts w:ascii="Calibri" w:cs="Calibri" w:eastAsia="Calibri" w:hAnsi="Calibri"/>
          <w:sz w:val="22"/>
          <w:szCs w:val="22"/>
        </w:rPr>
        <w:t xml:space="preserve">Definitive Phase (1 Jan 2026 onward): Importers purchase CBAM certificates equal to: (embedded emissions of imported good) − (carbon price already paid in origin country). Certificate price mirrors the EU ETS reference price, currently EUR 50–90/tonne CO2e.  [5]</w:t>
      </w:r>
    </w:p>
    <w:p>
      <w:pPr>
        <w:spacing w:after="160" w:line="276"/>
      </w:pPr>
      <w:r>
        <w:rPr>
          <w:rFonts w:ascii="Calibri" w:cs="Calibri" w:eastAsia="Calibri" w:hAnsi="Calibri"/>
          <w:sz w:val="22"/>
          <w:szCs w:val="22"/>
        </w:rPr>
        <w:t xml:space="preserve">Carbon Intensity Data Gap: The knowledge graph does NOT contain published carbon intensity coefficients for Chinese lithium hydroxide production. Industry estimates for Chinese lithium processing (all forms) range 5–15 tCO2/t, but specific LiOH data is not graph-sourced. Without verified data, the cost impact calculation cannot proceed to precision; a qualitative scenario analysis is provided below. </w:t>
      </w:r>
    </w:p>
    <w:p>
      <w:pPr>
        <w:spacing w:after="160" w:line="276"/>
      </w:pPr>
      <w:r>
        <w:rPr>
          <w:rFonts w:ascii="Calibri" w:cs="Calibri" w:eastAsia="Calibri" w:hAnsi="Calibri"/>
          <w:sz w:val="22"/>
          <w:szCs w:val="22"/>
        </w:rPr>
        <w:t xml:space="preserve">Implications: EU importers of battery-grade LiOH from China MUST establish emissions accounting by 2025 year-end to prepare for certificate purchase in 2026. No financial outlay occurs during the transitional phase, but operational compliance (quarterly reporting, carbon measurement protocols) is required now.</w:t>
      </w:r>
    </w:p>
    <w:p>
      <w:pPr>
        <w:pStyle w:val="Heading2"/>
        <w:spacing w:after="160" w:before="360"/>
      </w:pPr>
      <w:r>
        <w:rPr>
          <w:rFonts w:ascii="Calibri" w:cs="Calibri" w:eastAsia="Calibri" w:hAnsi="Calibri"/>
          <w:b/>
          <w:bCs/>
          <w:sz w:val="32"/>
          <w:szCs w:val="32"/>
        </w:rPr>
        <w:t xml:space="preserve">2. Cost Impact Scenario: Hypothetical Embedded Carbon Analysis</w:t>
      </w:r>
    </w:p>
    <w:p>
      <w:pPr>
        <w:spacing w:after="160" w:line="276"/>
      </w:pPr>
      <w:r>
        <w:rPr>
          <w:rFonts w:ascii="Calibri" w:cs="Calibri" w:eastAsia="Calibri" w:hAnsi="Calibri"/>
          <w:sz w:val="22"/>
          <w:szCs w:val="22"/>
        </w:rPr>
        <w:t xml:space="preserve">Assuming a representative Chinese LiOH batch with embedded carbon of 10 tCO2/t (midpoint of published estimates; NOT graph-verified), and applying the definitive CBAM mechanism with zero carbon tax already paid in China:</w:t>
      </w:r>
    </w:p>
    <w:tbl>
      <w:tblPr>
        <w:tblW w:type="dxa" w:w="936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2781"/>
        <w:gridCol w:w="1390"/>
        <w:gridCol w:w="1112"/>
        <w:gridCol w:w="2224"/>
        <w:gridCol w:w="1853"/>
      </w:tblGrid>
      <w:tr>
        <w:trPr>
          <w:tblHeader/>
        </w:trPr>
        <w:tc>
          <w:tcPr>
            <w:tcW w:type="dxa" w:w="2781"/>
            <w:tcBorders>
              <w:top w:val="single" w:color="D1D5DB" w:sz="1"/>
              <w:left w:val="single" w:color="D1D5DB" w:sz="1"/>
              <w:bottom w:val="single" w:color="D1D5DB" w:sz="1"/>
              <w:right w:val="single" w:color="D1D5DB" w:sz="1"/>
            </w:tcBorders>
            <w:shd w:color="334155" w:val="solid"/>
            <w:tcMar>
              <w:top w:type="dxa" w:w="40"/>
              <w:left w:type="dxa" w:w="100"/>
              <w:bottom w:type="dxa" w:w="40"/>
              <w:right w:type="dxa" w:w="100"/>
            </w:tcMar>
          </w:tcPr>
          <w:p>
            <w:pPr>
              <w:spacing w:after="60" w:before="60"/>
            </w:pPr>
            <w:r>
              <w:rPr>
                <w:rFonts w:ascii="Calibri" w:cs="Calibri" w:eastAsia="Calibri" w:hAnsi="Calibri"/>
                <w:b/>
                <w:bCs/>
                <w:color w:val="FFFFFF"/>
                <w:sz w:val="20"/>
                <w:szCs w:val="20"/>
              </w:rPr>
              <w:t xml:space="preserve">SCENARIO</w:t>
            </w:r>
          </w:p>
        </w:tc>
        <w:tc>
          <w:tcPr>
            <w:tcW w:type="dxa" w:w="1390"/>
            <w:tcBorders>
              <w:top w:val="single" w:color="D1D5DB" w:sz="1"/>
              <w:left w:val="single" w:color="D1D5DB" w:sz="1"/>
              <w:bottom w:val="single" w:color="D1D5DB" w:sz="1"/>
              <w:right w:val="single" w:color="D1D5DB" w:sz="1"/>
            </w:tcBorders>
            <w:shd w:color="334155" w:val="solid"/>
            <w:tcMar>
              <w:top w:type="dxa" w:w="40"/>
              <w:left w:type="dxa" w:w="100"/>
              <w:bottom w:type="dxa" w:w="40"/>
              <w:right w:type="dxa" w:w="100"/>
            </w:tcMar>
          </w:tcPr>
          <w:p>
            <w:pPr>
              <w:spacing w:after="60" w:before="60"/>
            </w:pPr>
            <w:r>
              <w:rPr>
                <w:rFonts w:ascii="Calibri" w:cs="Calibri" w:eastAsia="Calibri" w:hAnsi="Calibri"/>
                <w:b/>
                <w:bCs/>
                <w:color w:val="FFFFFF"/>
                <w:sz w:val="20"/>
                <w:szCs w:val="20"/>
              </w:rPr>
              <w:t xml:space="preserve">EMBEDDED CARBON</w:t>
            </w:r>
          </w:p>
        </w:tc>
        <w:tc>
          <w:tcPr>
            <w:tcW w:type="dxa" w:w="1112"/>
            <w:tcBorders>
              <w:top w:val="single" w:color="D1D5DB" w:sz="1"/>
              <w:left w:val="single" w:color="D1D5DB" w:sz="1"/>
              <w:bottom w:val="single" w:color="D1D5DB" w:sz="1"/>
              <w:right w:val="single" w:color="D1D5DB" w:sz="1"/>
            </w:tcBorders>
            <w:shd w:color="334155" w:val="solid"/>
            <w:tcMar>
              <w:top w:type="dxa" w:w="40"/>
              <w:left w:type="dxa" w:w="100"/>
              <w:bottom w:type="dxa" w:w="40"/>
              <w:right w:type="dxa" w:w="100"/>
            </w:tcMar>
          </w:tcPr>
          <w:p>
            <w:pPr>
              <w:spacing w:after="60" w:before="60"/>
            </w:pPr>
            <w:r>
              <w:rPr>
                <w:rFonts w:ascii="Calibri" w:cs="Calibri" w:eastAsia="Calibri" w:hAnsi="Calibri"/>
                <w:b/>
                <w:bCs/>
                <w:color w:val="FFFFFF"/>
                <w:sz w:val="20"/>
                <w:szCs w:val="20"/>
              </w:rPr>
              <w:t xml:space="preserve">EU ETS PRICE</w:t>
            </w:r>
          </w:p>
        </w:tc>
        <w:tc>
          <w:tcPr>
            <w:tcW w:type="dxa" w:w="2224"/>
            <w:tcBorders>
              <w:top w:val="single" w:color="D1D5DB" w:sz="1"/>
              <w:left w:val="single" w:color="D1D5DB" w:sz="1"/>
              <w:bottom w:val="single" w:color="D1D5DB" w:sz="1"/>
              <w:right w:val="single" w:color="D1D5DB" w:sz="1"/>
            </w:tcBorders>
            <w:shd w:color="334155" w:val="solid"/>
            <w:tcMar>
              <w:top w:type="dxa" w:w="40"/>
              <w:left w:type="dxa" w:w="100"/>
              <w:bottom w:type="dxa" w:w="40"/>
              <w:right w:type="dxa" w:w="100"/>
            </w:tcMar>
          </w:tcPr>
          <w:p>
            <w:pPr>
              <w:spacing w:after="60" w:before="60"/>
            </w:pPr>
            <w:r>
              <w:rPr>
                <w:rFonts w:ascii="Calibri" w:cs="Calibri" w:eastAsia="Calibri" w:hAnsi="Calibri"/>
                <w:b/>
                <w:bCs/>
                <w:color w:val="FFFFFF"/>
                <w:sz w:val="20"/>
                <w:szCs w:val="20"/>
              </w:rPr>
              <w:t xml:space="preserve">CBAM COST PER TONNE LIOH</w:t>
            </w:r>
          </w:p>
        </w:tc>
        <w:tc>
          <w:tcPr>
            <w:tcW w:type="dxa" w:w="1853"/>
            <w:tcBorders>
              <w:top w:val="single" w:color="D1D5DB" w:sz="1"/>
              <w:left w:val="single" w:color="D1D5DB" w:sz="1"/>
              <w:bottom w:val="single" w:color="D1D5DB" w:sz="1"/>
              <w:right w:val="single" w:color="D1D5DB" w:sz="1"/>
            </w:tcBorders>
            <w:shd w:color="334155" w:val="solid"/>
            <w:tcMar>
              <w:top w:type="dxa" w:w="40"/>
              <w:left w:type="dxa" w:w="100"/>
              <w:bottom w:type="dxa" w:w="40"/>
              <w:right w:type="dxa" w:w="100"/>
            </w:tcMar>
          </w:tcPr>
          <w:p>
            <w:pPr>
              <w:spacing w:after="60" w:before="60"/>
            </w:pPr>
            <w:r>
              <w:rPr>
                <w:rFonts w:ascii="Calibri" w:cs="Calibri" w:eastAsia="Calibri" w:hAnsi="Calibri"/>
                <w:b/>
                <w:bCs/>
                <w:color w:val="FFFFFF"/>
                <w:sz w:val="20"/>
                <w:szCs w:val="20"/>
              </w:rPr>
              <w:t xml:space="preserve">% ADDER ON $23,000/T</w:t>
            </w:r>
          </w:p>
        </w:tc>
      </w:tr>
      <w:tr>
        <w:tc>
          <w:tcPr>
            <w:tcW w:type="dxa" w:w="2781"/>
            <w:tcBorders>
              <w:top w:val="single" w:color="D1D5DB" w:sz="1"/>
              <w:left w:val="single" w:color="D1D5DB" w:sz="1"/>
              <w:bottom w:val="single" w:color="D1D5DB" w:sz="1"/>
              <w:right w:val="single" w:color="D1D5DB" w:sz="1"/>
            </w:tcBorders>
            <w:shd w:color="F8FAFC" w:val="solid"/>
            <w:tcMar>
              <w:top w:type="dxa" w:w="30"/>
              <w:left w:type="dxa" w:w="100"/>
              <w:bottom w:type="dxa" w:w="30"/>
              <w:right w:type="dxa" w:w="100"/>
            </w:tcMar>
          </w:tcPr>
          <w:p>
            <w:pPr>
              <w:spacing w:after="40" w:before="40"/>
            </w:pPr>
            <w:r>
              <w:rPr>
                <w:rFonts w:ascii="Calibri" w:cs="Calibri" w:eastAsia="Calibri" w:hAnsi="Calibri"/>
                <w:sz w:val="20"/>
                <w:szCs w:val="20"/>
              </w:rPr>
              <w:t xml:space="preserve">Low (5 tCO2/t, EUR 50/tonne)</w:t>
            </w:r>
          </w:p>
        </w:tc>
        <w:tc>
          <w:tcPr>
            <w:tcW w:type="dxa" w:w="1390"/>
            <w:tcBorders>
              <w:top w:val="single" w:color="D1D5DB" w:sz="1"/>
              <w:left w:val="single" w:color="D1D5DB" w:sz="1"/>
              <w:bottom w:val="single" w:color="D1D5DB" w:sz="1"/>
              <w:right w:val="single" w:color="D1D5DB" w:sz="1"/>
            </w:tcBorders>
            <w:shd w:color="F8FAFC" w:val="solid"/>
            <w:tcMar>
              <w:top w:type="dxa" w:w="30"/>
              <w:left w:type="dxa" w:w="100"/>
              <w:bottom w:type="dxa" w:w="30"/>
              <w:right w:type="dxa" w:w="100"/>
            </w:tcMar>
          </w:tcPr>
          <w:p>
            <w:pPr>
              <w:spacing w:after="40" w:before="40"/>
            </w:pPr>
            <w:r>
              <w:rPr>
                <w:rFonts w:ascii="Calibri" w:cs="Calibri" w:eastAsia="Calibri" w:hAnsi="Calibri"/>
                <w:sz w:val="20"/>
                <w:szCs w:val="20"/>
              </w:rPr>
              <w:t xml:space="preserve">5</w:t>
            </w:r>
          </w:p>
        </w:tc>
        <w:tc>
          <w:tcPr>
            <w:tcW w:type="dxa" w:w="1112"/>
            <w:tcBorders>
              <w:top w:val="single" w:color="D1D5DB" w:sz="1"/>
              <w:left w:val="single" w:color="D1D5DB" w:sz="1"/>
              <w:bottom w:val="single" w:color="D1D5DB" w:sz="1"/>
              <w:right w:val="single" w:color="D1D5DB" w:sz="1"/>
            </w:tcBorders>
            <w:shd w:color="F8FAFC" w:val="solid"/>
            <w:tcMar>
              <w:top w:type="dxa" w:w="30"/>
              <w:left w:type="dxa" w:w="100"/>
              <w:bottom w:type="dxa" w:w="30"/>
              <w:right w:type="dxa" w:w="100"/>
            </w:tcMar>
          </w:tcPr>
          <w:p>
            <w:pPr>
              <w:spacing w:after="40" w:before="40"/>
            </w:pPr>
            <w:r>
              <w:rPr>
                <w:rFonts w:ascii="Calibri" w:cs="Calibri" w:eastAsia="Calibri" w:hAnsi="Calibri"/>
                <w:sz w:val="20"/>
                <w:szCs w:val="20"/>
              </w:rPr>
              <w:t xml:space="preserve">EUR 50</w:t>
            </w:r>
          </w:p>
        </w:tc>
        <w:tc>
          <w:tcPr>
            <w:tcW w:type="dxa" w:w="2224"/>
            <w:tcBorders>
              <w:top w:val="single" w:color="D1D5DB" w:sz="1"/>
              <w:left w:val="single" w:color="D1D5DB" w:sz="1"/>
              <w:bottom w:val="single" w:color="D1D5DB" w:sz="1"/>
              <w:right w:val="single" w:color="D1D5DB" w:sz="1"/>
            </w:tcBorders>
            <w:shd w:color="F8FAFC" w:val="solid"/>
            <w:tcMar>
              <w:top w:type="dxa" w:w="30"/>
              <w:left w:type="dxa" w:w="100"/>
              <w:bottom w:type="dxa" w:w="30"/>
              <w:right w:type="dxa" w:w="100"/>
            </w:tcMar>
          </w:tcPr>
          <w:p>
            <w:pPr>
              <w:spacing w:after="40" w:before="40"/>
            </w:pPr>
            <w:r>
              <w:rPr>
                <w:rFonts w:ascii="Calibri" w:cs="Calibri" w:eastAsia="Calibri" w:hAnsi="Calibri"/>
                <w:sz w:val="20"/>
                <w:szCs w:val="20"/>
              </w:rPr>
              <w:t xml:space="preserve">EUR 250 (~$270)</w:t>
            </w:r>
          </w:p>
        </w:tc>
        <w:tc>
          <w:tcPr>
            <w:tcW w:type="dxa" w:w="1853"/>
            <w:tcBorders>
              <w:top w:val="single" w:color="D1D5DB" w:sz="1"/>
              <w:left w:val="single" w:color="D1D5DB" w:sz="1"/>
              <w:bottom w:val="single" w:color="D1D5DB" w:sz="1"/>
              <w:right w:val="single" w:color="D1D5DB" w:sz="1"/>
            </w:tcBorders>
            <w:shd w:color="F8FAFC" w:val="solid"/>
            <w:tcMar>
              <w:top w:type="dxa" w:w="30"/>
              <w:left w:type="dxa" w:w="100"/>
              <w:bottom w:type="dxa" w:w="30"/>
              <w:right w:type="dxa" w:w="100"/>
            </w:tcMar>
          </w:tcPr>
          <w:p>
            <w:pPr>
              <w:spacing w:after="40" w:before="40"/>
            </w:pPr>
            <w:r>
              <w:rPr>
                <w:rFonts w:ascii="Calibri" w:cs="Calibri" w:eastAsia="Calibri" w:hAnsi="Calibri"/>
                <w:sz w:val="20"/>
                <w:szCs w:val="20"/>
              </w:rPr>
              <w:t xml:space="preserve">11.1</w:t>
            </w:r>
          </w:p>
        </w:tc>
      </w:tr>
      <w:tr>
        <w:tc>
          <w:tcPr>
            <w:tcW w:type="dxa" w:w="2781"/>
            <w:tcBorders>
              <w:top w:val="single" w:color="D1D5DB" w:sz="1"/>
              <w:left w:val="single" w:color="D1D5DB" w:sz="1"/>
              <w:bottom w:val="single" w:color="D1D5DB" w:sz="1"/>
              <w:right w:val="single" w:color="D1D5DB" w:sz="1"/>
            </w:tcBorders>
            <w:tcMar>
              <w:top w:type="dxa" w:w="30"/>
              <w:left w:type="dxa" w:w="100"/>
              <w:bottom w:type="dxa" w:w="30"/>
              <w:right w:type="dxa" w:w="100"/>
            </w:tcMar>
          </w:tcPr>
          <w:p>
            <w:pPr>
              <w:spacing w:after="40" w:before="40"/>
            </w:pPr>
            <w:r>
              <w:rPr>
                <w:rFonts w:ascii="Calibri" w:cs="Calibri" w:eastAsia="Calibri" w:hAnsi="Calibri"/>
                <w:sz w:val="20"/>
                <w:szCs w:val="20"/>
              </w:rPr>
              <w:t xml:space="preserve">Mid (10 tCO2/t, EUR 70/tonne)</w:t>
            </w:r>
          </w:p>
        </w:tc>
        <w:tc>
          <w:tcPr>
            <w:tcW w:type="dxa" w:w="1390"/>
            <w:tcBorders>
              <w:top w:val="single" w:color="D1D5DB" w:sz="1"/>
              <w:left w:val="single" w:color="D1D5DB" w:sz="1"/>
              <w:bottom w:val="single" w:color="D1D5DB" w:sz="1"/>
              <w:right w:val="single" w:color="D1D5DB" w:sz="1"/>
            </w:tcBorders>
            <w:tcMar>
              <w:top w:type="dxa" w:w="30"/>
              <w:left w:type="dxa" w:w="100"/>
              <w:bottom w:type="dxa" w:w="30"/>
              <w:right w:type="dxa" w:w="100"/>
            </w:tcMar>
          </w:tcPr>
          <w:p>
            <w:pPr>
              <w:spacing w:after="40" w:before="40"/>
            </w:pPr>
            <w:r>
              <w:rPr>
                <w:rFonts w:ascii="Calibri" w:cs="Calibri" w:eastAsia="Calibri" w:hAnsi="Calibri"/>
                <w:sz w:val="20"/>
                <w:szCs w:val="20"/>
              </w:rPr>
              <w:t xml:space="preserve">10</w:t>
            </w:r>
          </w:p>
        </w:tc>
        <w:tc>
          <w:tcPr>
            <w:tcW w:type="dxa" w:w="1112"/>
            <w:tcBorders>
              <w:top w:val="single" w:color="D1D5DB" w:sz="1"/>
              <w:left w:val="single" w:color="D1D5DB" w:sz="1"/>
              <w:bottom w:val="single" w:color="D1D5DB" w:sz="1"/>
              <w:right w:val="single" w:color="D1D5DB" w:sz="1"/>
            </w:tcBorders>
            <w:tcMar>
              <w:top w:type="dxa" w:w="30"/>
              <w:left w:type="dxa" w:w="100"/>
              <w:bottom w:type="dxa" w:w="30"/>
              <w:right w:type="dxa" w:w="100"/>
            </w:tcMar>
          </w:tcPr>
          <w:p>
            <w:pPr>
              <w:spacing w:after="40" w:before="40"/>
            </w:pPr>
            <w:r>
              <w:rPr>
                <w:rFonts w:ascii="Calibri" w:cs="Calibri" w:eastAsia="Calibri" w:hAnsi="Calibri"/>
                <w:sz w:val="20"/>
                <w:szCs w:val="20"/>
              </w:rPr>
              <w:t xml:space="preserve">EUR 70</w:t>
            </w:r>
          </w:p>
        </w:tc>
        <w:tc>
          <w:tcPr>
            <w:tcW w:type="dxa" w:w="2224"/>
            <w:tcBorders>
              <w:top w:val="single" w:color="D1D5DB" w:sz="1"/>
              <w:left w:val="single" w:color="D1D5DB" w:sz="1"/>
              <w:bottom w:val="single" w:color="D1D5DB" w:sz="1"/>
              <w:right w:val="single" w:color="D1D5DB" w:sz="1"/>
            </w:tcBorders>
            <w:tcMar>
              <w:top w:type="dxa" w:w="30"/>
              <w:left w:type="dxa" w:w="100"/>
              <w:bottom w:type="dxa" w:w="30"/>
              <w:right w:type="dxa" w:w="100"/>
            </w:tcMar>
          </w:tcPr>
          <w:p>
            <w:pPr>
              <w:spacing w:after="40" w:before="40"/>
            </w:pPr>
            <w:r>
              <w:rPr>
                <w:rFonts w:ascii="Calibri" w:cs="Calibri" w:eastAsia="Calibri" w:hAnsi="Calibri"/>
                <w:sz w:val="20"/>
                <w:szCs w:val="20"/>
              </w:rPr>
              <w:t xml:space="preserve">EUR 700 (~$756)</w:t>
            </w:r>
          </w:p>
        </w:tc>
        <w:tc>
          <w:tcPr>
            <w:tcW w:type="dxa" w:w="1853"/>
            <w:tcBorders>
              <w:top w:val="single" w:color="D1D5DB" w:sz="1"/>
              <w:left w:val="single" w:color="D1D5DB" w:sz="1"/>
              <w:bottom w:val="single" w:color="D1D5DB" w:sz="1"/>
              <w:right w:val="single" w:color="D1D5DB" w:sz="1"/>
            </w:tcBorders>
            <w:tcMar>
              <w:top w:type="dxa" w:w="30"/>
              <w:left w:type="dxa" w:w="100"/>
              <w:bottom w:type="dxa" w:w="30"/>
              <w:right w:type="dxa" w:w="100"/>
            </w:tcMar>
          </w:tcPr>
          <w:p>
            <w:pPr>
              <w:spacing w:after="40" w:before="40"/>
            </w:pPr>
            <w:r>
              <w:rPr>
                <w:rFonts w:ascii="Calibri" w:cs="Calibri" w:eastAsia="Calibri" w:hAnsi="Calibri"/>
                <w:sz w:val="20"/>
                <w:szCs w:val="20"/>
              </w:rPr>
              <w:t xml:space="preserve">30.6</w:t>
            </w:r>
          </w:p>
        </w:tc>
      </w:tr>
      <w:tr>
        <w:tc>
          <w:tcPr>
            <w:tcW w:type="dxa" w:w="2781"/>
            <w:tcBorders>
              <w:top w:val="single" w:color="D1D5DB" w:sz="1"/>
              <w:left w:val="single" w:color="D1D5DB" w:sz="1"/>
              <w:bottom w:val="single" w:color="D1D5DB" w:sz="1"/>
              <w:right w:val="single" w:color="D1D5DB" w:sz="1"/>
            </w:tcBorders>
            <w:shd w:color="F8FAFC" w:val="solid"/>
            <w:tcMar>
              <w:top w:type="dxa" w:w="30"/>
              <w:left w:type="dxa" w:w="100"/>
              <w:bottom w:type="dxa" w:w="30"/>
              <w:right w:type="dxa" w:w="100"/>
            </w:tcMar>
          </w:tcPr>
          <w:p>
            <w:pPr>
              <w:spacing w:after="40" w:before="40"/>
            </w:pPr>
            <w:r>
              <w:rPr>
                <w:rFonts w:ascii="Calibri" w:cs="Calibri" w:eastAsia="Calibri" w:hAnsi="Calibri"/>
                <w:sz w:val="20"/>
                <w:szCs w:val="20"/>
              </w:rPr>
              <w:t xml:space="preserve">High (15 tCO2/t, EUR 90/tonne)</w:t>
            </w:r>
          </w:p>
        </w:tc>
        <w:tc>
          <w:tcPr>
            <w:tcW w:type="dxa" w:w="1390"/>
            <w:tcBorders>
              <w:top w:val="single" w:color="D1D5DB" w:sz="1"/>
              <w:left w:val="single" w:color="D1D5DB" w:sz="1"/>
              <w:bottom w:val="single" w:color="D1D5DB" w:sz="1"/>
              <w:right w:val="single" w:color="D1D5DB" w:sz="1"/>
            </w:tcBorders>
            <w:shd w:color="F8FAFC" w:val="solid"/>
            <w:tcMar>
              <w:top w:type="dxa" w:w="30"/>
              <w:left w:type="dxa" w:w="100"/>
              <w:bottom w:type="dxa" w:w="30"/>
              <w:right w:type="dxa" w:w="100"/>
            </w:tcMar>
          </w:tcPr>
          <w:p>
            <w:pPr>
              <w:spacing w:after="40" w:before="40"/>
            </w:pPr>
            <w:r>
              <w:rPr>
                <w:rFonts w:ascii="Calibri" w:cs="Calibri" w:eastAsia="Calibri" w:hAnsi="Calibri"/>
                <w:sz w:val="20"/>
                <w:szCs w:val="20"/>
              </w:rPr>
              <w:t xml:space="preserve">15</w:t>
            </w:r>
          </w:p>
        </w:tc>
        <w:tc>
          <w:tcPr>
            <w:tcW w:type="dxa" w:w="1112"/>
            <w:tcBorders>
              <w:top w:val="single" w:color="D1D5DB" w:sz="1"/>
              <w:left w:val="single" w:color="D1D5DB" w:sz="1"/>
              <w:bottom w:val="single" w:color="D1D5DB" w:sz="1"/>
              <w:right w:val="single" w:color="D1D5DB" w:sz="1"/>
            </w:tcBorders>
            <w:shd w:color="F8FAFC" w:val="solid"/>
            <w:tcMar>
              <w:top w:type="dxa" w:w="30"/>
              <w:left w:type="dxa" w:w="100"/>
              <w:bottom w:type="dxa" w:w="30"/>
              <w:right w:type="dxa" w:w="100"/>
            </w:tcMar>
          </w:tcPr>
          <w:p>
            <w:pPr>
              <w:spacing w:after="40" w:before="40"/>
            </w:pPr>
            <w:r>
              <w:rPr>
                <w:rFonts w:ascii="Calibri" w:cs="Calibri" w:eastAsia="Calibri" w:hAnsi="Calibri"/>
                <w:sz w:val="20"/>
                <w:szCs w:val="20"/>
              </w:rPr>
              <w:t xml:space="preserve">EUR 90</w:t>
            </w:r>
          </w:p>
        </w:tc>
        <w:tc>
          <w:tcPr>
            <w:tcW w:type="dxa" w:w="2224"/>
            <w:tcBorders>
              <w:top w:val="single" w:color="D1D5DB" w:sz="1"/>
              <w:left w:val="single" w:color="D1D5DB" w:sz="1"/>
              <w:bottom w:val="single" w:color="D1D5DB" w:sz="1"/>
              <w:right w:val="single" w:color="D1D5DB" w:sz="1"/>
            </w:tcBorders>
            <w:shd w:color="F8FAFC" w:val="solid"/>
            <w:tcMar>
              <w:top w:type="dxa" w:w="30"/>
              <w:left w:type="dxa" w:w="100"/>
              <w:bottom w:type="dxa" w:w="30"/>
              <w:right w:type="dxa" w:w="100"/>
            </w:tcMar>
          </w:tcPr>
          <w:p>
            <w:pPr>
              <w:spacing w:after="40" w:before="40"/>
            </w:pPr>
            <w:r>
              <w:rPr>
                <w:rFonts w:ascii="Calibri" w:cs="Calibri" w:eastAsia="Calibri" w:hAnsi="Calibri"/>
                <w:sz w:val="20"/>
                <w:szCs w:val="20"/>
              </w:rPr>
              <w:t xml:space="preserve">EUR 1,350 (~$1,458)</w:t>
            </w:r>
          </w:p>
        </w:tc>
        <w:tc>
          <w:tcPr>
            <w:tcW w:type="dxa" w:w="1853"/>
            <w:tcBorders>
              <w:top w:val="single" w:color="D1D5DB" w:sz="1"/>
              <w:left w:val="single" w:color="D1D5DB" w:sz="1"/>
              <w:bottom w:val="single" w:color="D1D5DB" w:sz="1"/>
              <w:right w:val="single" w:color="D1D5DB" w:sz="1"/>
            </w:tcBorders>
            <w:shd w:color="F8FAFC" w:val="solid"/>
            <w:tcMar>
              <w:top w:type="dxa" w:w="30"/>
              <w:left w:type="dxa" w:w="100"/>
              <w:bottom w:type="dxa" w:w="30"/>
              <w:right w:type="dxa" w:w="100"/>
            </w:tcMar>
          </w:tcPr>
          <w:p>
            <w:pPr>
              <w:spacing w:after="40" w:before="40"/>
            </w:pPr>
            <w:r>
              <w:rPr>
                <w:rFonts w:ascii="Calibri" w:cs="Calibri" w:eastAsia="Calibri" w:hAnsi="Calibri"/>
                <w:sz w:val="20"/>
                <w:szCs w:val="20"/>
              </w:rPr>
              <w:t xml:space="preserve">58.3</w:t>
            </w:r>
          </w:p>
        </w:tc>
      </w:tr>
    </w:tbl>
    <w:p>
      <w:pPr>
        <w:spacing w:after="160"/>
      </w:pPr>
    </w:p>
    <w:p>
      <w:pPr>
        <w:spacing w:after="160" w:line="276"/>
      </w:pPr>
      <w:r>
        <w:rPr>
          <w:rFonts w:ascii="Calibri" w:cs="Calibri" w:eastAsia="Calibri" w:hAnsi="Calibri"/>
          <w:sz w:val="22"/>
          <w:szCs w:val="22"/>
        </w:rPr>
        <w:t xml:space="preserve">Key Assumption: China does not operate an economy-wide carbon pricing system equivalent to EU ETS (as of 2026), so no offset deduction applies. The full embedded carbon intensity triggers CBAM certificates.  [5]</w:t>
      </w:r>
    </w:p>
    <w:p>
      <w:pPr>
        <w:spacing w:after="160" w:line="276"/>
      </w:pPr>
      <w:r>
        <w:rPr>
          <w:rFonts w:ascii="Calibri" w:cs="Calibri" w:eastAsia="Calibri" w:hAnsi="Calibri"/>
          <w:sz w:val="22"/>
          <w:szCs w:val="22"/>
        </w:rPr>
        <w:t xml:space="preserve">Implications: CBAM cost impact will range 1–6% of material cost depending on actual embedded carbon verification. Importers must engage Chinese suppliers to obtain third-party carbon footprint attestations (LCA reports) to optimize certificate purchase. Failure to document provenance emissions may result in default high carbon intensity assignments by EU customs, raising costs above the mid-scenario.</w:t>
      </w:r>
    </w:p>
    <w:p>
      <w:pPr>
        <w:pStyle w:val="Heading2"/>
        <w:spacing w:after="160" w:before="360"/>
      </w:pPr>
      <w:r>
        <w:rPr>
          <w:rFonts w:ascii="Calibri" w:cs="Calibri" w:eastAsia="Calibri" w:hAnsi="Calibri"/>
          <w:b/>
          <w:bCs/>
          <w:sz w:val="32"/>
          <w:szCs w:val="32"/>
        </w:rPr>
        <w:t xml:space="preserve">3. China→EU Trade Flow &amp; Competitive Exposure</w:t>
      </w:r>
    </w:p>
    <w:p>
      <w:pPr>
        <w:spacing w:after="160" w:line="276"/>
      </w:pPr>
      <w:r>
        <w:rPr>
          <w:rFonts w:ascii="Calibri" w:cs="Calibri" w:eastAsia="Calibri" w:hAnsi="Calibri"/>
          <w:sz w:val="22"/>
          <w:szCs w:val="22"/>
        </w:rPr>
        <w:t xml:space="preserve">The knowledge graph records the following lithium hydroxide export flows:</w:t>
      </w:r>
    </w:p>
    <w:tbl>
      <w:tblPr>
        <w:tblW w:type="dxa" w:w="936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2656"/>
        <w:gridCol w:w="2403"/>
        <w:gridCol w:w="4301"/>
      </w:tblGrid>
      <w:tr>
        <w:trPr>
          <w:tblHeader/>
        </w:trPr>
        <w:tc>
          <w:tcPr>
            <w:tcW w:type="dxa" w:w="2656"/>
            <w:tcBorders>
              <w:top w:val="single" w:color="D1D5DB" w:sz="1"/>
              <w:left w:val="single" w:color="D1D5DB" w:sz="1"/>
              <w:bottom w:val="single" w:color="D1D5DB" w:sz="1"/>
              <w:right w:val="single" w:color="D1D5DB" w:sz="1"/>
            </w:tcBorders>
            <w:shd w:color="334155" w:val="solid"/>
            <w:tcMar>
              <w:top w:type="dxa" w:w="40"/>
              <w:left w:type="dxa" w:w="100"/>
              <w:bottom w:type="dxa" w:w="40"/>
              <w:right w:type="dxa" w:w="100"/>
            </w:tcMar>
          </w:tcPr>
          <w:p>
            <w:pPr>
              <w:spacing w:after="60" w:before="60"/>
            </w:pPr>
            <w:r>
              <w:rPr>
                <w:rFonts w:ascii="Calibri" w:cs="Calibri" w:eastAsia="Calibri" w:hAnsi="Calibri"/>
                <w:b/>
                <w:bCs/>
                <w:color w:val="FFFFFF"/>
                <w:sz w:val="20"/>
                <w:szCs w:val="20"/>
              </w:rPr>
              <w:t xml:space="preserve">ROUTE</w:t>
            </w:r>
          </w:p>
        </w:tc>
        <w:tc>
          <w:tcPr>
            <w:tcW w:type="dxa" w:w="2403"/>
            <w:tcBorders>
              <w:top w:val="single" w:color="D1D5DB" w:sz="1"/>
              <w:left w:val="single" w:color="D1D5DB" w:sz="1"/>
              <w:bottom w:val="single" w:color="D1D5DB" w:sz="1"/>
              <w:right w:val="single" w:color="D1D5DB" w:sz="1"/>
            </w:tcBorders>
            <w:shd w:color="334155" w:val="solid"/>
            <w:tcMar>
              <w:top w:type="dxa" w:w="40"/>
              <w:left w:type="dxa" w:w="100"/>
              <w:bottom w:type="dxa" w:w="40"/>
              <w:right w:type="dxa" w:w="100"/>
            </w:tcMar>
          </w:tcPr>
          <w:p>
            <w:pPr>
              <w:spacing w:after="60" w:before="60"/>
            </w:pPr>
            <w:r>
              <w:rPr>
                <w:rFonts w:ascii="Calibri" w:cs="Calibri" w:eastAsia="Calibri" w:hAnsi="Calibri"/>
                <w:b/>
                <w:bCs/>
                <w:color w:val="FFFFFF"/>
                <w:sz w:val="20"/>
                <w:szCs w:val="20"/>
              </w:rPr>
              <w:t xml:space="preserve">VOLUME (TONNES)</w:t>
            </w:r>
          </w:p>
        </w:tc>
        <w:tc>
          <w:tcPr>
            <w:tcW w:type="dxa" w:w="4301"/>
            <w:tcBorders>
              <w:top w:val="single" w:color="D1D5DB" w:sz="1"/>
              <w:left w:val="single" w:color="D1D5DB" w:sz="1"/>
              <w:bottom w:val="single" w:color="D1D5DB" w:sz="1"/>
              <w:right w:val="single" w:color="D1D5DB" w:sz="1"/>
            </w:tcBorders>
            <w:shd w:color="334155" w:val="solid"/>
            <w:tcMar>
              <w:top w:type="dxa" w:w="40"/>
              <w:left w:type="dxa" w:w="100"/>
              <w:bottom w:type="dxa" w:w="40"/>
              <w:right w:type="dxa" w:w="100"/>
            </w:tcMar>
          </w:tcPr>
          <w:p>
            <w:pPr>
              <w:spacing w:after="60" w:before="60"/>
            </w:pPr>
            <w:r>
              <w:rPr>
                <w:rFonts w:ascii="Calibri" w:cs="Calibri" w:eastAsia="Calibri" w:hAnsi="Calibri"/>
                <w:b/>
                <w:bCs/>
                <w:color w:val="FFFFFF"/>
                <w:sz w:val="20"/>
                <w:szCs w:val="20"/>
              </w:rPr>
              <w:t xml:space="preserve">STATUS</w:t>
            </w:r>
          </w:p>
        </w:tc>
      </w:tr>
      <w:tr>
        <w:tc>
          <w:tcPr>
            <w:tcW w:type="dxa" w:w="2656"/>
            <w:tcBorders>
              <w:top w:val="single" w:color="D1D5DB" w:sz="1"/>
              <w:left w:val="single" w:color="D1D5DB" w:sz="1"/>
              <w:bottom w:val="single" w:color="D1D5DB" w:sz="1"/>
              <w:right w:val="single" w:color="D1D5DB" w:sz="1"/>
            </w:tcBorders>
            <w:shd w:color="F8FAFC" w:val="solid"/>
            <w:tcMar>
              <w:top w:type="dxa" w:w="30"/>
              <w:left w:type="dxa" w:w="100"/>
              <w:bottom w:type="dxa" w:w="30"/>
              <w:right w:type="dxa" w:w="100"/>
            </w:tcMar>
          </w:tcPr>
          <w:p>
            <w:pPr>
              <w:spacing w:after="40" w:before="40"/>
            </w:pPr>
            <w:r>
              <w:rPr>
                <w:rFonts w:ascii="Calibri" w:cs="Calibri" w:eastAsia="Calibri" w:hAnsi="Calibri"/>
                <w:sz w:val="20"/>
                <w:szCs w:val="20"/>
              </w:rPr>
              <w:t xml:space="preserve">China → Germany</w:t>
            </w:r>
          </w:p>
        </w:tc>
        <w:tc>
          <w:tcPr>
            <w:tcW w:type="dxa" w:w="2403"/>
            <w:tcBorders>
              <w:top w:val="single" w:color="D1D5DB" w:sz="1"/>
              <w:left w:val="single" w:color="D1D5DB" w:sz="1"/>
              <w:bottom w:val="single" w:color="D1D5DB" w:sz="1"/>
              <w:right w:val="single" w:color="D1D5DB" w:sz="1"/>
            </w:tcBorders>
            <w:shd w:color="F8FAFC" w:val="solid"/>
            <w:tcMar>
              <w:top w:type="dxa" w:w="30"/>
              <w:left w:type="dxa" w:w="100"/>
              <w:bottom w:type="dxa" w:w="30"/>
              <w:right w:type="dxa" w:w="100"/>
            </w:tcMar>
          </w:tcPr>
          <w:p>
            <w:pPr>
              <w:spacing w:after="40" w:before="40"/>
            </w:pPr>
            <w:r>
              <w:rPr>
                <w:rFonts w:ascii="Calibri" w:cs="Calibri" w:eastAsia="Calibri" w:hAnsi="Calibri"/>
                <w:sz w:val="20"/>
                <w:szCs w:val="20"/>
              </w:rPr>
              <w:t xml:space="preserve">18,000</w:t>
            </w:r>
          </w:p>
        </w:tc>
        <w:tc>
          <w:tcPr>
            <w:tcW w:type="dxa" w:w="4301"/>
            <w:tcBorders>
              <w:top w:val="single" w:color="D1D5DB" w:sz="1"/>
              <w:left w:val="single" w:color="D1D5DB" w:sz="1"/>
              <w:bottom w:val="single" w:color="D1D5DB" w:sz="1"/>
              <w:right w:val="single" w:color="D1D5DB" w:sz="1"/>
            </w:tcBorders>
            <w:shd w:color="F8FAFC" w:val="solid"/>
            <w:tcMar>
              <w:top w:type="dxa" w:w="30"/>
              <w:left w:type="dxa" w:w="100"/>
              <w:bottom w:type="dxa" w:w="30"/>
              <w:right w:type="dxa" w:w="100"/>
            </w:tcMar>
          </w:tcPr>
          <w:p>
            <w:pPr>
              <w:spacing w:after="40" w:before="40"/>
            </w:pPr>
            <w:r>
              <w:rPr>
                <w:rFonts w:ascii="Calibri" w:cs="Calibri" w:eastAsia="Calibri" w:hAnsi="Calibri"/>
                <w:sz w:val="20"/>
                <w:szCs w:val="20"/>
              </w:rPr>
              <w:t xml:space="preserve">EU-bound, tracked</w:t>
            </w:r>
          </w:p>
        </w:tc>
      </w:tr>
      <w:tr>
        <w:tc>
          <w:tcPr>
            <w:tcW w:type="dxa" w:w="2656"/>
            <w:tcBorders>
              <w:top w:val="single" w:color="D1D5DB" w:sz="1"/>
              <w:left w:val="single" w:color="D1D5DB" w:sz="1"/>
              <w:bottom w:val="single" w:color="D1D5DB" w:sz="1"/>
              <w:right w:val="single" w:color="D1D5DB" w:sz="1"/>
            </w:tcBorders>
            <w:tcMar>
              <w:top w:type="dxa" w:w="30"/>
              <w:left w:type="dxa" w:w="100"/>
              <w:bottom w:type="dxa" w:w="30"/>
              <w:right w:type="dxa" w:w="100"/>
            </w:tcMar>
          </w:tcPr>
          <w:p>
            <w:pPr>
              <w:spacing w:after="40" w:before="40"/>
            </w:pPr>
            <w:r>
              <w:rPr>
                <w:rFonts w:ascii="Calibri" w:cs="Calibri" w:eastAsia="Calibri" w:hAnsi="Calibri"/>
                <w:sz w:val="20"/>
                <w:szCs w:val="20"/>
              </w:rPr>
              <w:t xml:space="preserve">China → South Korea</w:t>
            </w:r>
          </w:p>
        </w:tc>
        <w:tc>
          <w:tcPr>
            <w:tcW w:type="dxa" w:w="2403"/>
            <w:tcBorders>
              <w:top w:val="single" w:color="D1D5DB" w:sz="1"/>
              <w:left w:val="single" w:color="D1D5DB" w:sz="1"/>
              <w:bottom w:val="single" w:color="D1D5DB" w:sz="1"/>
              <w:right w:val="single" w:color="D1D5DB" w:sz="1"/>
            </w:tcBorders>
            <w:tcMar>
              <w:top w:type="dxa" w:w="30"/>
              <w:left w:type="dxa" w:w="100"/>
              <w:bottom w:type="dxa" w:w="30"/>
              <w:right w:type="dxa" w:w="100"/>
            </w:tcMar>
          </w:tcPr>
          <w:p>
            <w:pPr>
              <w:spacing w:after="40" w:before="40"/>
            </w:pPr>
            <w:r>
              <w:rPr>
                <w:rFonts w:ascii="Calibri" w:cs="Calibri" w:eastAsia="Calibri" w:hAnsi="Calibri"/>
                <w:sz w:val="20"/>
                <w:szCs w:val="20"/>
              </w:rPr>
              <w:t xml:space="preserve">42,000</w:t>
            </w:r>
          </w:p>
        </w:tc>
        <w:tc>
          <w:tcPr>
            <w:tcW w:type="dxa" w:w="4301"/>
            <w:tcBorders>
              <w:top w:val="single" w:color="D1D5DB" w:sz="1"/>
              <w:left w:val="single" w:color="D1D5DB" w:sz="1"/>
              <w:bottom w:val="single" w:color="D1D5DB" w:sz="1"/>
              <w:right w:val="single" w:color="D1D5DB" w:sz="1"/>
            </w:tcBorders>
            <w:tcMar>
              <w:top w:type="dxa" w:w="30"/>
              <w:left w:type="dxa" w:w="100"/>
              <w:bottom w:type="dxa" w:w="30"/>
              <w:right w:type="dxa" w:w="100"/>
            </w:tcMar>
          </w:tcPr>
          <w:p>
            <w:pPr>
              <w:spacing w:after="40" w:before="40"/>
            </w:pPr>
            <w:r>
              <w:rPr>
                <w:rFonts w:ascii="Calibri" w:cs="Calibri" w:eastAsia="Calibri" w:hAnsi="Calibri"/>
                <w:sz w:val="20"/>
                <w:szCs w:val="20"/>
              </w:rPr>
              <w:t xml:space="preserve">Non-EU</w:t>
            </w:r>
          </w:p>
        </w:tc>
      </w:tr>
      <w:tr>
        <w:tc>
          <w:tcPr>
            <w:tcW w:type="dxa" w:w="2656"/>
            <w:tcBorders>
              <w:top w:val="single" w:color="D1D5DB" w:sz="1"/>
              <w:left w:val="single" w:color="D1D5DB" w:sz="1"/>
              <w:bottom w:val="single" w:color="D1D5DB" w:sz="1"/>
              <w:right w:val="single" w:color="D1D5DB" w:sz="1"/>
            </w:tcBorders>
            <w:shd w:color="F8FAFC" w:val="solid"/>
            <w:tcMar>
              <w:top w:type="dxa" w:w="30"/>
              <w:left w:type="dxa" w:w="100"/>
              <w:bottom w:type="dxa" w:w="30"/>
              <w:right w:type="dxa" w:w="100"/>
            </w:tcMar>
          </w:tcPr>
          <w:p>
            <w:pPr>
              <w:spacing w:after="40" w:before="40"/>
            </w:pPr>
            <w:r>
              <w:rPr>
                <w:rFonts w:ascii="Calibri" w:cs="Calibri" w:eastAsia="Calibri" w:hAnsi="Calibri"/>
                <w:sz w:val="20"/>
                <w:szCs w:val="20"/>
              </w:rPr>
              <w:t xml:space="preserve">China → Japan</w:t>
            </w:r>
          </w:p>
        </w:tc>
        <w:tc>
          <w:tcPr>
            <w:tcW w:type="dxa" w:w="2403"/>
            <w:tcBorders>
              <w:top w:val="single" w:color="D1D5DB" w:sz="1"/>
              <w:left w:val="single" w:color="D1D5DB" w:sz="1"/>
              <w:bottom w:val="single" w:color="D1D5DB" w:sz="1"/>
              <w:right w:val="single" w:color="D1D5DB" w:sz="1"/>
            </w:tcBorders>
            <w:shd w:color="F8FAFC" w:val="solid"/>
            <w:tcMar>
              <w:top w:type="dxa" w:w="30"/>
              <w:left w:type="dxa" w:w="100"/>
              <w:bottom w:type="dxa" w:w="30"/>
              <w:right w:type="dxa" w:w="100"/>
            </w:tcMar>
          </w:tcPr>
          <w:p>
            <w:pPr>
              <w:spacing w:after="40" w:before="40"/>
            </w:pPr>
            <w:r>
              <w:rPr>
                <w:rFonts w:ascii="Calibri" w:cs="Calibri" w:eastAsia="Calibri" w:hAnsi="Calibri"/>
                <w:sz w:val="20"/>
                <w:szCs w:val="20"/>
              </w:rPr>
              <w:t xml:space="preserve">~4,800 (inferred)</w:t>
            </w:r>
          </w:p>
        </w:tc>
        <w:tc>
          <w:tcPr>
            <w:tcW w:type="dxa" w:w="4301"/>
            <w:tcBorders>
              <w:top w:val="single" w:color="D1D5DB" w:sz="1"/>
              <w:left w:val="single" w:color="D1D5DB" w:sz="1"/>
              <w:bottom w:val="single" w:color="D1D5DB" w:sz="1"/>
              <w:right w:val="single" w:color="D1D5DB" w:sz="1"/>
            </w:tcBorders>
            <w:shd w:color="F8FAFC" w:val="solid"/>
            <w:tcMar>
              <w:top w:type="dxa" w:w="30"/>
              <w:left w:type="dxa" w:w="100"/>
              <w:bottom w:type="dxa" w:w="30"/>
              <w:right w:type="dxa" w:w="100"/>
            </w:tcMar>
          </w:tcPr>
          <w:p>
            <w:pPr>
              <w:spacing w:after="40" w:before="40"/>
            </w:pPr>
            <w:r>
              <w:rPr>
                <w:rFonts w:ascii="Calibri" w:cs="Calibri" w:eastAsia="Calibri" w:hAnsi="Calibri"/>
                <w:sz w:val="20"/>
                <w:szCs w:val="20"/>
              </w:rPr>
              <w:t xml:space="preserve">Non-EU</w:t>
            </w:r>
          </w:p>
        </w:tc>
      </w:tr>
      <w:tr>
        <w:tc>
          <w:tcPr>
            <w:tcW w:type="dxa" w:w="2656"/>
            <w:tcBorders>
              <w:top w:val="single" w:color="D1D5DB" w:sz="1"/>
              <w:left w:val="single" w:color="D1D5DB" w:sz="1"/>
              <w:bottom w:val="single" w:color="D1D5DB" w:sz="1"/>
              <w:right w:val="single" w:color="D1D5DB" w:sz="1"/>
            </w:tcBorders>
            <w:tcMar>
              <w:top w:type="dxa" w:w="30"/>
              <w:left w:type="dxa" w:w="100"/>
              <w:bottom w:type="dxa" w:w="30"/>
              <w:right w:type="dxa" w:w="100"/>
            </w:tcMar>
          </w:tcPr>
          <w:p>
            <w:pPr>
              <w:spacing w:after="40" w:before="40"/>
            </w:pPr>
            <w:r>
              <w:rPr>
                <w:rFonts w:ascii="Calibri" w:cs="Calibri" w:eastAsia="Calibri" w:hAnsi="Calibri"/>
                <w:sz w:val="20"/>
                <w:szCs w:val="20"/>
              </w:rPr>
              <w:t xml:space="preserve">China → United States</w:t>
            </w:r>
          </w:p>
        </w:tc>
        <w:tc>
          <w:tcPr>
            <w:tcW w:type="dxa" w:w="2403"/>
            <w:tcBorders>
              <w:top w:val="single" w:color="D1D5DB" w:sz="1"/>
              <w:left w:val="single" w:color="D1D5DB" w:sz="1"/>
              <w:bottom w:val="single" w:color="D1D5DB" w:sz="1"/>
              <w:right w:val="single" w:color="D1D5DB" w:sz="1"/>
            </w:tcBorders>
            <w:tcMar>
              <w:top w:type="dxa" w:w="30"/>
              <w:left w:type="dxa" w:w="100"/>
              <w:bottom w:type="dxa" w:w="30"/>
              <w:right w:type="dxa" w:w="100"/>
            </w:tcMar>
          </w:tcPr>
          <w:p>
            <w:pPr>
              <w:spacing w:after="40" w:before="40"/>
            </w:pPr>
            <w:r>
              <w:rPr>
                <w:rFonts w:ascii="Calibri" w:cs="Calibri" w:eastAsia="Calibri" w:hAnsi="Calibri"/>
                <w:sz w:val="20"/>
                <w:szCs w:val="20"/>
              </w:rPr>
              <w:t xml:space="preserve">132.5 (small batch)</w:t>
            </w:r>
          </w:p>
        </w:tc>
        <w:tc>
          <w:tcPr>
            <w:tcW w:type="dxa" w:w="4301"/>
            <w:tcBorders>
              <w:top w:val="single" w:color="D1D5DB" w:sz="1"/>
              <w:left w:val="single" w:color="D1D5DB" w:sz="1"/>
              <w:bottom w:val="single" w:color="D1D5DB" w:sz="1"/>
              <w:right w:val="single" w:color="D1D5DB" w:sz="1"/>
            </w:tcBorders>
            <w:tcMar>
              <w:top w:type="dxa" w:w="30"/>
              <w:left w:type="dxa" w:w="100"/>
              <w:bottom w:type="dxa" w:w="30"/>
              <w:right w:type="dxa" w:w="100"/>
            </w:tcMar>
          </w:tcPr>
          <w:p>
            <w:pPr>
              <w:spacing w:after="40" w:before="40"/>
            </w:pPr>
            <w:r>
              <w:rPr>
                <w:rFonts w:ascii="Calibri" w:cs="Calibri" w:eastAsia="Calibri" w:hAnsi="Calibri"/>
                <w:sz w:val="20"/>
                <w:szCs w:val="20"/>
              </w:rPr>
              <w:t xml:space="preserve">Non-EU, tracked</w:t>
            </w:r>
          </w:p>
        </w:tc>
      </w:tr>
      <w:tr>
        <w:tc>
          <w:tcPr>
            <w:tcW w:type="dxa" w:w="2656"/>
            <w:tcBorders>
              <w:top w:val="single" w:color="D1D5DB" w:sz="1"/>
              <w:left w:val="single" w:color="D1D5DB" w:sz="1"/>
              <w:bottom w:val="single" w:color="D1D5DB" w:sz="1"/>
              <w:right w:val="single" w:color="D1D5DB" w:sz="1"/>
            </w:tcBorders>
            <w:shd w:color="F8FAFC" w:val="solid"/>
            <w:tcMar>
              <w:top w:type="dxa" w:w="30"/>
              <w:left w:type="dxa" w:w="100"/>
              <w:bottom w:type="dxa" w:w="30"/>
              <w:right w:type="dxa" w:w="100"/>
            </w:tcMar>
          </w:tcPr>
          <w:p>
            <w:pPr>
              <w:spacing w:after="40" w:before="40"/>
            </w:pPr>
            <w:r>
              <w:rPr>
                <w:rFonts w:ascii="Calibri" w:cs="Calibri" w:eastAsia="Calibri" w:hAnsi="Calibri"/>
                <w:sz w:val="20"/>
                <w:szCs w:val="20"/>
              </w:rPr>
              <w:t xml:space="preserve">China → Switzerland</w:t>
            </w:r>
          </w:p>
        </w:tc>
        <w:tc>
          <w:tcPr>
            <w:tcW w:type="dxa" w:w="2403"/>
            <w:tcBorders>
              <w:top w:val="single" w:color="D1D5DB" w:sz="1"/>
              <w:left w:val="single" w:color="D1D5DB" w:sz="1"/>
              <w:bottom w:val="single" w:color="D1D5DB" w:sz="1"/>
              <w:right w:val="single" w:color="D1D5DB" w:sz="1"/>
            </w:tcBorders>
            <w:shd w:color="F8FAFC" w:val="solid"/>
            <w:tcMar>
              <w:top w:type="dxa" w:w="30"/>
              <w:left w:type="dxa" w:w="100"/>
              <w:bottom w:type="dxa" w:w="30"/>
              <w:right w:type="dxa" w:w="100"/>
            </w:tcMar>
          </w:tcPr>
          <w:p>
            <w:pPr>
              <w:spacing w:after="40" w:before="40"/>
            </w:pPr>
            <w:r>
              <w:rPr>
                <w:rFonts w:ascii="Calibri" w:cs="Calibri" w:eastAsia="Calibri" w:hAnsi="Calibri"/>
                <w:sz w:val="20"/>
                <w:szCs w:val="20"/>
              </w:rPr>
              <w:t xml:space="preserve">1,088.4</w:t>
            </w:r>
          </w:p>
        </w:tc>
        <w:tc>
          <w:tcPr>
            <w:tcW w:type="dxa" w:w="4301"/>
            <w:tcBorders>
              <w:top w:val="single" w:color="D1D5DB" w:sz="1"/>
              <w:left w:val="single" w:color="D1D5DB" w:sz="1"/>
              <w:bottom w:val="single" w:color="D1D5DB" w:sz="1"/>
              <w:right w:val="single" w:color="D1D5DB" w:sz="1"/>
            </w:tcBorders>
            <w:shd w:color="F8FAFC" w:val="solid"/>
            <w:tcMar>
              <w:top w:type="dxa" w:w="30"/>
              <w:left w:type="dxa" w:w="100"/>
              <w:bottom w:type="dxa" w:w="30"/>
              <w:right w:type="dxa" w:w="100"/>
            </w:tcMar>
          </w:tcPr>
          <w:p>
            <w:pPr>
              <w:spacing w:after="40" w:before="40"/>
            </w:pPr>
            <w:r>
              <w:rPr>
                <w:rFonts w:ascii="Calibri" w:cs="Calibri" w:eastAsia="Calibri" w:hAnsi="Calibri"/>
                <w:sz w:val="20"/>
                <w:szCs w:val="20"/>
              </w:rPr>
              <w:t xml:space="preserve">EU-adjacent, CBAM exposure unclear</w:t>
            </w:r>
          </w:p>
        </w:tc>
      </w:tr>
    </w:tbl>
    <w:p>
      <w:pPr>
        <w:spacing w:after="160"/>
      </w:pPr>
    </w:p>
    <w:p>
      <w:pPr>
        <w:spacing w:after="160" w:line="276"/>
      </w:pPr>
      <w:r>
        <w:rPr>
          <w:rFonts w:ascii="Calibri" w:cs="Calibri" w:eastAsia="Calibri" w:hAnsi="Calibri"/>
          <w:sz w:val="22"/>
          <w:szCs w:val="22"/>
        </w:rPr>
        <w:t xml:space="preserve">Total China LiOH exports tracked: ~66,000 t/yr gross weight. Only 18,000 t/yr (27% of tracked volume) flows directly to Germany (EU); the remainder routes via non-CBAM jurisdictions (South Korea, Japan) or is untracked.  [9]</w:t>
      </w:r>
    </w:p>
    <w:p>
      <w:pPr>
        <w:spacing w:after="160" w:line="276"/>
      </w:pPr>
      <w:r>
        <w:rPr>
          <w:rFonts w:ascii="Calibri" w:cs="Calibri" w:eastAsia="Calibri" w:hAnsi="Calibri"/>
          <w:sz w:val="22"/>
          <w:szCs w:val="22"/>
        </w:rPr>
        <w:t xml:space="preserve">Alternative Supply Context: Global lithium hydroxide supply includes non-Chinese sources. The graph documents significant recycling capacity in North America (Li-Cycle Rochester Hub 35,000 t/yr, Redwood Materials Nevada 100,000 t/yr) and Australia (Albemarle Kemerton 50,000 t/yr LiOH), but these facilities do not currently export to Germany in recorded flows. EU-facing imports from Chinese sources thus represent a concentrated but NOT dominant share of global LiOH availability.</w:t>
      </w:r>
    </w:p>
    <w:p>
      <w:pPr>
        <w:spacing w:after="160" w:line="276"/>
      </w:pPr>
      <w:r>
        <w:rPr>
          <w:rFonts w:ascii="Calibri" w:cs="Calibri" w:eastAsia="Calibri" w:hAnsi="Calibri"/>
          <w:sz w:val="22"/>
          <w:szCs w:val="22"/>
        </w:rPr>
        <w:t xml:space="preserve">Implications: EU battery manufacturers reliant on Chinese LiOH imports (especially Germany's cathode and cell makers) face a CBAM cost adder beginning 2026, but can mitigate by: (i) shifting sourcing to non-CBAM jurisdictions (Australia, North America) or (ii) negotiating carbon-intensity reductions with Chinese suppliers via process improvements. 18,000 t/yr is a material but not critical volume—diversification is feasible within 12–18 months.</w:t>
      </w:r>
    </w:p>
    <w:p>
      <w:pPr>
        <w:pStyle w:val="Heading2"/>
        <w:spacing w:after="160" w:before="360"/>
      </w:pPr>
      <w:r>
        <w:rPr>
          <w:rFonts w:ascii="Calibri" w:cs="Calibri" w:eastAsia="Calibri" w:hAnsi="Calibri"/>
          <w:b/>
          <w:bCs/>
          <w:sz w:val="32"/>
          <w:szCs w:val="32"/>
        </w:rPr>
        <w:t xml:space="preserve">4. Regulatory Timeline &amp; Compliance Requirements</w:t>
      </w:r>
    </w:p>
    <w:tbl>
      <w:tblPr>
        <w:tblW w:type="dxa" w:w="936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2635"/>
        <w:gridCol w:w="1179"/>
        <w:gridCol w:w="4229"/>
        <w:gridCol w:w="1317"/>
      </w:tblGrid>
      <w:tr>
        <w:trPr>
          <w:tblHeader/>
        </w:trPr>
        <w:tc>
          <w:tcPr>
            <w:tcW w:type="dxa" w:w="2635"/>
            <w:tcBorders>
              <w:top w:val="single" w:color="D1D5DB" w:sz="1"/>
              <w:left w:val="single" w:color="D1D5DB" w:sz="1"/>
              <w:bottom w:val="single" w:color="D1D5DB" w:sz="1"/>
              <w:right w:val="single" w:color="D1D5DB" w:sz="1"/>
            </w:tcBorders>
            <w:shd w:color="334155" w:val="solid"/>
            <w:tcMar>
              <w:top w:type="dxa" w:w="40"/>
              <w:left w:type="dxa" w:w="100"/>
              <w:bottom w:type="dxa" w:w="40"/>
              <w:right w:type="dxa" w:w="100"/>
            </w:tcMar>
          </w:tcPr>
          <w:p>
            <w:pPr>
              <w:spacing w:after="60" w:before="60"/>
            </w:pPr>
            <w:r>
              <w:rPr>
                <w:rFonts w:ascii="Calibri" w:cs="Calibri" w:eastAsia="Calibri" w:hAnsi="Calibri"/>
                <w:b/>
                <w:bCs/>
                <w:color w:val="FFFFFF"/>
                <w:sz w:val="20"/>
                <w:szCs w:val="20"/>
              </w:rPr>
              <w:t xml:space="preserve">MILESTONE</w:t>
            </w:r>
          </w:p>
        </w:tc>
        <w:tc>
          <w:tcPr>
            <w:tcW w:type="dxa" w:w="1179"/>
            <w:tcBorders>
              <w:top w:val="single" w:color="D1D5DB" w:sz="1"/>
              <w:left w:val="single" w:color="D1D5DB" w:sz="1"/>
              <w:bottom w:val="single" w:color="D1D5DB" w:sz="1"/>
              <w:right w:val="single" w:color="D1D5DB" w:sz="1"/>
            </w:tcBorders>
            <w:shd w:color="334155" w:val="solid"/>
            <w:tcMar>
              <w:top w:type="dxa" w:w="40"/>
              <w:left w:type="dxa" w:w="100"/>
              <w:bottom w:type="dxa" w:w="40"/>
              <w:right w:type="dxa" w:w="100"/>
            </w:tcMar>
          </w:tcPr>
          <w:p>
            <w:pPr>
              <w:spacing w:after="60" w:before="60"/>
            </w:pPr>
            <w:r>
              <w:rPr>
                <w:rFonts w:ascii="Calibri" w:cs="Calibri" w:eastAsia="Calibri" w:hAnsi="Calibri"/>
                <w:b/>
                <w:bCs/>
                <w:color w:val="FFFFFF"/>
                <w:sz w:val="20"/>
                <w:szCs w:val="20"/>
              </w:rPr>
              <w:t xml:space="preserve">DATE</w:t>
            </w:r>
          </w:p>
        </w:tc>
        <w:tc>
          <w:tcPr>
            <w:tcW w:type="dxa" w:w="4229"/>
            <w:tcBorders>
              <w:top w:val="single" w:color="D1D5DB" w:sz="1"/>
              <w:left w:val="single" w:color="D1D5DB" w:sz="1"/>
              <w:bottom w:val="single" w:color="D1D5DB" w:sz="1"/>
              <w:right w:val="single" w:color="D1D5DB" w:sz="1"/>
            </w:tcBorders>
            <w:shd w:color="334155" w:val="solid"/>
            <w:tcMar>
              <w:top w:type="dxa" w:w="40"/>
              <w:left w:type="dxa" w:w="100"/>
              <w:bottom w:type="dxa" w:w="40"/>
              <w:right w:type="dxa" w:w="100"/>
            </w:tcMar>
          </w:tcPr>
          <w:p>
            <w:pPr>
              <w:spacing w:after="60" w:before="60"/>
            </w:pPr>
            <w:r>
              <w:rPr>
                <w:rFonts w:ascii="Calibri" w:cs="Calibri" w:eastAsia="Calibri" w:hAnsi="Calibri"/>
                <w:b/>
                <w:bCs/>
                <w:color w:val="FFFFFF"/>
                <w:sz w:val="20"/>
                <w:szCs w:val="20"/>
              </w:rPr>
              <w:t xml:space="preserve">REQUIREMENT</w:t>
            </w:r>
          </w:p>
        </w:tc>
        <w:tc>
          <w:tcPr>
            <w:tcW w:type="dxa" w:w="1317"/>
            <w:tcBorders>
              <w:top w:val="single" w:color="D1D5DB" w:sz="1"/>
              <w:left w:val="single" w:color="D1D5DB" w:sz="1"/>
              <w:bottom w:val="single" w:color="D1D5DB" w:sz="1"/>
              <w:right w:val="single" w:color="D1D5DB" w:sz="1"/>
            </w:tcBorders>
            <w:shd w:color="334155" w:val="solid"/>
            <w:tcMar>
              <w:top w:type="dxa" w:w="40"/>
              <w:left w:type="dxa" w:w="100"/>
              <w:bottom w:type="dxa" w:w="40"/>
              <w:right w:type="dxa" w:w="100"/>
            </w:tcMar>
          </w:tcPr>
          <w:p>
            <w:pPr>
              <w:spacing w:after="60" w:before="60"/>
            </w:pPr>
            <w:r>
              <w:rPr>
                <w:rFonts w:ascii="Calibri" w:cs="Calibri" w:eastAsia="Calibri" w:hAnsi="Calibri"/>
                <w:b/>
                <w:bCs/>
                <w:color w:val="FFFFFF"/>
                <w:sz w:val="20"/>
                <w:szCs w:val="20"/>
              </w:rPr>
              <w:t xml:space="preserve">OWNER</w:t>
            </w:r>
          </w:p>
        </w:tc>
      </w:tr>
      <w:tr>
        <w:tc>
          <w:tcPr>
            <w:tcW w:type="dxa" w:w="2635"/>
            <w:tcBorders>
              <w:top w:val="single" w:color="D1D5DB" w:sz="1"/>
              <w:left w:val="single" w:color="D1D5DB" w:sz="1"/>
              <w:bottom w:val="single" w:color="D1D5DB" w:sz="1"/>
              <w:right w:val="single" w:color="D1D5DB" w:sz="1"/>
            </w:tcBorders>
            <w:shd w:color="F8FAFC" w:val="solid"/>
            <w:tcMar>
              <w:top w:type="dxa" w:w="30"/>
              <w:left w:type="dxa" w:w="100"/>
              <w:bottom w:type="dxa" w:w="30"/>
              <w:right w:type="dxa" w:w="100"/>
            </w:tcMar>
          </w:tcPr>
          <w:p>
            <w:pPr>
              <w:spacing w:after="40" w:before="40"/>
            </w:pPr>
            <w:r>
              <w:rPr>
                <w:rFonts w:ascii="Calibri" w:cs="Calibri" w:eastAsia="Calibri" w:hAnsi="Calibri"/>
                <w:sz w:val="20"/>
                <w:szCs w:val="20"/>
              </w:rPr>
              <w:t xml:space="preserve">Transitional phase ends</w:t>
            </w:r>
          </w:p>
        </w:tc>
        <w:tc>
          <w:tcPr>
            <w:tcW w:type="dxa" w:w="1179"/>
            <w:tcBorders>
              <w:top w:val="single" w:color="D1D5DB" w:sz="1"/>
              <w:left w:val="single" w:color="D1D5DB" w:sz="1"/>
              <w:bottom w:val="single" w:color="D1D5DB" w:sz="1"/>
              <w:right w:val="single" w:color="D1D5DB" w:sz="1"/>
            </w:tcBorders>
            <w:shd w:color="F8FAFC" w:val="solid"/>
            <w:tcMar>
              <w:top w:type="dxa" w:w="30"/>
              <w:left w:type="dxa" w:w="100"/>
              <w:bottom w:type="dxa" w:w="30"/>
              <w:right w:type="dxa" w:w="100"/>
            </w:tcMar>
          </w:tcPr>
          <w:p>
            <w:pPr>
              <w:spacing w:after="40" w:before="40"/>
            </w:pPr>
            <w:r>
              <w:rPr>
                <w:rFonts w:ascii="Calibri" w:cs="Calibri" w:eastAsia="Calibri" w:hAnsi="Calibri"/>
                <w:sz w:val="20"/>
                <w:szCs w:val="20"/>
              </w:rPr>
              <w:t xml:space="preserve">31 Dec 2025</w:t>
            </w:r>
          </w:p>
        </w:tc>
        <w:tc>
          <w:tcPr>
            <w:tcW w:type="dxa" w:w="4229"/>
            <w:tcBorders>
              <w:top w:val="single" w:color="D1D5DB" w:sz="1"/>
              <w:left w:val="single" w:color="D1D5DB" w:sz="1"/>
              <w:bottom w:val="single" w:color="D1D5DB" w:sz="1"/>
              <w:right w:val="single" w:color="D1D5DB" w:sz="1"/>
            </w:tcBorders>
            <w:shd w:color="F8FAFC" w:val="solid"/>
            <w:tcMar>
              <w:top w:type="dxa" w:w="30"/>
              <w:left w:type="dxa" w:w="100"/>
              <w:bottom w:type="dxa" w:w="30"/>
              <w:right w:type="dxa" w:w="100"/>
            </w:tcMar>
          </w:tcPr>
          <w:p>
            <w:pPr>
              <w:spacing w:after="40" w:before="40"/>
            </w:pPr>
            <w:r>
              <w:rPr>
                <w:rFonts w:ascii="Calibri" w:cs="Calibri" w:eastAsia="Calibri" w:hAnsi="Calibri"/>
                <w:sz w:val="20"/>
                <w:szCs w:val="20"/>
              </w:rPr>
              <w:t xml:space="preserve">Final quarterly emissions report due</w:t>
            </w:r>
          </w:p>
        </w:tc>
        <w:tc>
          <w:tcPr>
            <w:tcW w:type="dxa" w:w="1317"/>
            <w:tcBorders>
              <w:top w:val="single" w:color="D1D5DB" w:sz="1"/>
              <w:left w:val="single" w:color="D1D5DB" w:sz="1"/>
              <w:bottom w:val="single" w:color="D1D5DB" w:sz="1"/>
              <w:right w:val="single" w:color="D1D5DB" w:sz="1"/>
            </w:tcBorders>
            <w:shd w:color="F8FAFC" w:val="solid"/>
            <w:tcMar>
              <w:top w:type="dxa" w:w="30"/>
              <w:left w:type="dxa" w:w="100"/>
              <w:bottom w:type="dxa" w:w="30"/>
              <w:right w:type="dxa" w:w="100"/>
            </w:tcMar>
          </w:tcPr>
          <w:p>
            <w:pPr>
              <w:spacing w:after="40" w:before="40"/>
            </w:pPr>
            <w:r>
              <w:rPr>
                <w:rFonts w:ascii="Calibri" w:cs="Calibri" w:eastAsia="Calibri" w:hAnsi="Calibri"/>
                <w:sz w:val="20"/>
                <w:szCs w:val="20"/>
              </w:rPr>
              <w:t xml:space="preserve">EU importers</w:t>
            </w:r>
          </w:p>
        </w:tc>
      </w:tr>
      <w:tr>
        <w:tc>
          <w:tcPr>
            <w:tcW w:type="dxa" w:w="2635"/>
            <w:tcBorders>
              <w:top w:val="single" w:color="D1D5DB" w:sz="1"/>
              <w:left w:val="single" w:color="D1D5DB" w:sz="1"/>
              <w:bottom w:val="single" w:color="D1D5DB" w:sz="1"/>
              <w:right w:val="single" w:color="D1D5DB" w:sz="1"/>
            </w:tcBorders>
            <w:tcMar>
              <w:top w:type="dxa" w:w="30"/>
              <w:left w:type="dxa" w:w="100"/>
              <w:bottom w:type="dxa" w:w="30"/>
              <w:right w:type="dxa" w:w="100"/>
            </w:tcMar>
          </w:tcPr>
          <w:p>
            <w:pPr>
              <w:spacing w:after="40" w:before="40"/>
            </w:pPr>
            <w:r>
              <w:rPr>
                <w:rFonts w:ascii="Calibri" w:cs="Calibri" w:eastAsia="Calibri" w:hAnsi="Calibri"/>
                <w:sz w:val="20"/>
                <w:szCs w:val="20"/>
              </w:rPr>
              <w:t xml:space="preserve">Definitive phase begins</w:t>
            </w:r>
          </w:p>
        </w:tc>
        <w:tc>
          <w:tcPr>
            <w:tcW w:type="dxa" w:w="1179"/>
            <w:tcBorders>
              <w:top w:val="single" w:color="D1D5DB" w:sz="1"/>
              <w:left w:val="single" w:color="D1D5DB" w:sz="1"/>
              <w:bottom w:val="single" w:color="D1D5DB" w:sz="1"/>
              <w:right w:val="single" w:color="D1D5DB" w:sz="1"/>
            </w:tcBorders>
            <w:tcMar>
              <w:top w:type="dxa" w:w="30"/>
              <w:left w:type="dxa" w:w="100"/>
              <w:bottom w:type="dxa" w:w="30"/>
              <w:right w:type="dxa" w:w="100"/>
            </w:tcMar>
          </w:tcPr>
          <w:p>
            <w:pPr>
              <w:spacing w:after="40" w:before="40"/>
            </w:pPr>
            <w:r>
              <w:rPr>
                <w:rFonts w:ascii="Calibri" w:cs="Calibri" w:eastAsia="Calibri" w:hAnsi="Calibri"/>
                <w:sz w:val="20"/>
                <w:szCs w:val="20"/>
              </w:rPr>
              <w:t xml:space="preserve">1 Jan 2026</w:t>
            </w:r>
          </w:p>
        </w:tc>
        <w:tc>
          <w:tcPr>
            <w:tcW w:type="dxa" w:w="4229"/>
            <w:tcBorders>
              <w:top w:val="single" w:color="D1D5DB" w:sz="1"/>
              <w:left w:val="single" w:color="D1D5DB" w:sz="1"/>
              <w:bottom w:val="single" w:color="D1D5DB" w:sz="1"/>
              <w:right w:val="single" w:color="D1D5DB" w:sz="1"/>
            </w:tcBorders>
            <w:tcMar>
              <w:top w:type="dxa" w:w="30"/>
              <w:left w:type="dxa" w:w="100"/>
              <w:bottom w:type="dxa" w:w="30"/>
              <w:right w:type="dxa" w:w="100"/>
            </w:tcMar>
          </w:tcPr>
          <w:p>
            <w:pPr>
              <w:spacing w:after="40" w:before="40"/>
            </w:pPr>
            <w:r>
              <w:rPr>
                <w:rFonts w:ascii="Calibri" w:cs="Calibri" w:eastAsia="Calibri" w:hAnsi="Calibri"/>
                <w:sz w:val="20"/>
                <w:szCs w:val="20"/>
              </w:rPr>
              <w:t xml:space="preserve">First CBAM certificate purchases required</w:t>
            </w:r>
          </w:p>
        </w:tc>
        <w:tc>
          <w:tcPr>
            <w:tcW w:type="dxa" w:w="1317"/>
            <w:tcBorders>
              <w:top w:val="single" w:color="D1D5DB" w:sz="1"/>
              <w:left w:val="single" w:color="D1D5DB" w:sz="1"/>
              <w:bottom w:val="single" w:color="D1D5DB" w:sz="1"/>
              <w:right w:val="single" w:color="D1D5DB" w:sz="1"/>
            </w:tcBorders>
            <w:tcMar>
              <w:top w:type="dxa" w:w="30"/>
              <w:left w:type="dxa" w:w="100"/>
              <w:bottom w:type="dxa" w:w="30"/>
              <w:right w:type="dxa" w:w="100"/>
            </w:tcMar>
          </w:tcPr>
          <w:p>
            <w:pPr>
              <w:spacing w:after="40" w:before="40"/>
            </w:pPr>
            <w:r>
              <w:rPr>
                <w:rFonts w:ascii="Calibri" w:cs="Calibri" w:eastAsia="Calibri" w:hAnsi="Calibri"/>
                <w:sz w:val="20"/>
                <w:szCs w:val="20"/>
              </w:rPr>
              <w:t xml:space="preserve">EU importers</w:t>
            </w:r>
          </w:p>
        </w:tc>
      </w:tr>
      <w:tr>
        <w:tc>
          <w:tcPr>
            <w:tcW w:type="dxa" w:w="2635"/>
            <w:tcBorders>
              <w:top w:val="single" w:color="D1D5DB" w:sz="1"/>
              <w:left w:val="single" w:color="D1D5DB" w:sz="1"/>
              <w:bottom w:val="single" w:color="D1D5DB" w:sz="1"/>
              <w:right w:val="single" w:color="D1D5DB" w:sz="1"/>
            </w:tcBorders>
            <w:shd w:color="F8FAFC" w:val="solid"/>
            <w:tcMar>
              <w:top w:type="dxa" w:w="30"/>
              <w:left w:type="dxa" w:w="100"/>
              <w:bottom w:type="dxa" w:w="30"/>
              <w:right w:type="dxa" w:w="100"/>
            </w:tcMar>
          </w:tcPr>
          <w:p>
            <w:pPr>
              <w:spacing w:after="40" w:before="40"/>
            </w:pPr>
            <w:r>
              <w:rPr>
                <w:rFonts w:ascii="Calibri" w:cs="Calibri" w:eastAsia="Calibri" w:hAnsi="Calibri"/>
                <w:sz w:val="20"/>
                <w:szCs w:val="20"/>
              </w:rPr>
              <w:t xml:space="preserve">Carbon intensity methodology finalized</w:t>
            </w:r>
          </w:p>
        </w:tc>
        <w:tc>
          <w:tcPr>
            <w:tcW w:type="dxa" w:w="1179"/>
            <w:tcBorders>
              <w:top w:val="single" w:color="D1D5DB" w:sz="1"/>
              <w:left w:val="single" w:color="D1D5DB" w:sz="1"/>
              <w:bottom w:val="single" w:color="D1D5DB" w:sz="1"/>
              <w:right w:val="single" w:color="D1D5DB" w:sz="1"/>
            </w:tcBorders>
            <w:shd w:color="F8FAFC" w:val="solid"/>
            <w:tcMar>
              <w:top w:type="dxa" w:w="30"/>
              <w:left w:type="dxa" w:w="100"/>
              <w:bottom w:type="dxa" w:w="30"/>
              <w:right w:type="dxa" w:w="100"/>
            </w:tcMar>
          </w:tcPr>
          <w:p>
            <w:pPr>
              <w:spacing w:after="40" w:before="40"/>
            </w:pPr>
            <w:r>
              <w:rPr>
                <w:rFonts w:ascii="Calibri" w:cs="Calibri" w:eastAsia="Calibri" w:hAnsi="Calibri"/>
                <w:sz w:val="20"/>
                <w:szCs w:val="20"/>
              </w:rPr>
              <w:t xml:space="preserve">Estimated Q2 2026</w:t>
            </w:r>
          </w:p>
        </w:tc>
        <w:tc>
          <w:tcPr>
            <w:tcW w:type="dxa" w:w="4229"/>
            <w:tcBorders>
              <w:top w:val="single" w:color="D1D5DB" w:sz="1"/>
              <w:left w:val="single" w:color="D1D5DB" w:sz="1"/>
              <w:bottom w:val="single" w:color="D1D5DB" w:sz="1"/>
              <w:right w:val="single" w:color="D1D5DB" w:sz="1"/>
            </w:tcBorders>
            <w:shd w:color="F8FAFC" w:val="solid"/>
            <w:tcMar>
              <w:top w:type="dxa" w:w="30"/>
              <w:left w:type="dxa" w:w="100"/>
              <w:bottom w:type="dxa" w:w="30"/>
              <w:right w:type="dxa" w:w="100"/>
            </w:tcMar>
          </w:tcPr>
          <w:p>
            <w:pPr>
              <w:spacing w:after="40" w:before="40"/>
            </w:pPr>
            <w:r>
              <w:rPr>
                <w:rFonts w:ascii="Calibri" w:cs="Calibri" w:eastAsia="Calibri" w:hAnsi="Calibri"/>
                <w:sz w:val="20"/>
                <w:szCs w:val="20"/>
              </w:rPr>
              <w:t xml:space="preserve">EU publishes default LiOH carbon factors (if not already set)</w:t>
            </w:r>
          </w:p>
        </w:tc>
        <w:tc>
          <w:tcPr>
            <w:tcW w:type="dxa" w:w="1317"/>
            <w:tcBorders>
              <w:top w:val="single" w:color="D1D5DB" w:sz="1"/>
              <w:left w:val="single" w:color="D1D5DB" w:sz="1"/>
              <w:bottom w:val="single" w:color="D1D5DB" w:sz="1"/>
              <w:right w:val="single" w:color="D1D5DB" w:sz="1"/>
            </w:tcBorders>
            <w:shd w:color="F8FAFC" w:val="solid"/>
            <w:tcMar>
              <w:top w:type="dxa" w:w="30"/>
              <w:left w:type="dxa" w:w="100"/>
              <w:bottom w:type="dxa" w:w="30"/>
              <w:right w:type="dxa" w:w="100"/>
            </w:tcMar>
          </w:tcPr>
          <w:p>
            <w:pPr>
              <w:spacing w:after="40" w:before="40"/>
            </w:pPr>
            <w:r>
              <w:rPr>
                <w:rFonts w:ascii="Calibri" w:cs="Calibri" w:eastAsia="Calibri" w:hAnsi="Calibri"/>
                <w:sz w:val="20"/>
                <w:szCs w:val="20"/>
              </w:rPr>
              <w:t xml:space="preserve">European Commission</w:t>
            </w:r>
          </w:p>
        </w:tc>
      </w:tr>
      <w:tr>
        <w:tc>
          <w:tcPr>
            <w:tcW w:type="dxa" w:w="2635"/>
            <w:tcBorders>
              <w:top w:val="single" w:color="D1D5DB" w:sz="1"/>
              <w:left w:val="single" w:color="D1D5DB" w:sz="1"/>
              <w:bottom w:val="single" w:color="D1D5DB" w:sz="1"/>
              <w:right w:val="single" w:color="D1D5DB" w:sz="1"/>
            </w:tcBorders>
            <w:tcMar>
              <w:top w:type="dxa" w:w="30"/>
              <w:left w:type="dxa" w:w="100"/>
              <w:bottom w:type="dxa" w:w="30"/>
              <w:right w:type="dxa" w:w="100"/>
            </w:tcMar>
          </w:tcPr>
          <w:p>
            <w:pPr>
              <w:spacing w:after="40" w:before="40"/>
            </w:pPr>
            <w:r>
              <w:rPr>
                <w:rFonts w:ascii="Calibri" w:cs="Calibri" w:eastAsia="Calibri" w:hAnsi="Calibri"/>
                <w:sz w:val="20"/>
                <w:szCs w:val="20"/>
              </w:rPr>
              <w:t xml:space="preserve">First certificate surrender</w:t>
            </w:r>
          </w:p>
        </w:tc>
        <w:tc>
          <w:tcPr>
            <w:tcW w:type="dxa" w:w="1179"/>
            <w:tcBorders>
              <w:top w:val="single" w:color="D1D5DB" w:sz="1"/>
              <w:left w:val="single" w:color="D1D5DB" w:sz="1"/>
              <w:bottom w:val="single" w:color="D1D5DB" w:sz="1"/>
              <w:right w:val="single" w:color="D1D5DB" w:sz="1"/>
            </w:tcBorders>
            <w:tcMar>
              <w:top w:type="dxa" w:w="30"/>
              <w:left w:type="dxa" w:w="100"/>
              <w:bottom w:type="dxa" w:w="30"/>
              <w:right w:type="dxa" w:w="100"/>
            </w:tcMar>
          </w:tcPr>
          <w:p>
            <w:pPr>
              <w:spacing w:after="40" w:before="40"/>
            </w:pPr>
            <w:r>
              <w:rPr>
                <w:rFonts w:ascii="Calibri" w:cs="Calibri" w:eastAsia="Calibri" w:hAnsi="Calibri"/>
                <w:sz w:val="20"/>
                <w:szCs w:val="20"/>
              </w:rPr>
              <w:t xml:space="preserve">31 May 2026</w:t>
            </w:r>
          </w:p>
        </w:tc>
        <w:tc>
          <w:tcPr>
            <w:tcW w:type="dxa" w:w="4229"/>
            <w:tcBorders>
              <w:top w:val="single" w:color="D1D5DB" w:sz="1"/>
              <w:left w:val="single" w:color="D1D5DB" w:sz="1"/>
              <w:bottom w:val="single" w:color="D1D5DB" w:sz="1"/>
              <w:right w:val="single" w:color="D1D5DB" w:sz="1"/>
            </w:tcBorders>
            <w:tcMar>
              <w:top w:type="dxa" w:w="30"/>
              <w:left w:type="dxa" w:w="100"/>
              <w:bottom w:type="dxa" w:w="30"/>
              <w:right w:type="dxa" w:w="100"/>
            </w:tcMar>
          </w:tcPr>
          <w:p>
            <w:pPr>
              <w:spacing w:after="40" w:before="40"/>
            </w:pPr>
            <w:r>
              <w:rPr>
                <w:rFonts w:ascii="Calibri" w:cs="Calibri" w:eastAsia="Calibri" w:hAnsi="Calibri"/>
                <w:sz w:val="20"/>
                <w:szCs w:val="20"/>
              </w:rPr>
              <w:t xml:space="preserve">Importers submit certificates for Q1 2026 imports</w:t>
            </w:r>
          </w:p>
        </w:tc>
        <w:tc>
          <w:tcPr>
            <w:tcW w:type="dxa" w:w="1317"/>
            <w:tcBorders>
              <w:top w:val="single" w:color="D1D5DB" w:sz="1"/>
              <w:left w:val="single" w:color="D1D5DB" w:sz="1"/>
              <w:bottom w:val="single" w:color="D1D5DB" w:sz="1"/>
              <w:right w:val="single" w:color="D1D5DB" w:sz="1"/>
            </w:tcBorders>
            <w:tcMar>
              <w:top w:type="dxa" w:w="30"/>
              <w:left w:type="dxa" w:w="100"/>
              <w:bottom w:type="dxa" w:w="30"/>
              <w:right w:type="dxa" w:w="100"/>
            </w:tcMar>
          </w:tcPr>
          <w:p>
            <w:pPr>
              <w:spacing w:after="40" w:before="40"/>
            </w:pPr>
            <w:r>
              <w:rPr>
                <w:rFonts w:ascii="Calibri" w:cs="Calibri" w:eastAsia="Calibri" w:hAnsi="Calibri"/>
                <w:sz w:val="20"/>
                <w:szCs w:val="20"/>
              </w:rPr>
              <w:t xml:space="preserve">EU importers</w:t>
            </w:r>
          </w:p>
        </w:tc>
      </w:tr>
    </w:tbl>
    <w:p>
      <w:pPr>
        <w:spacing w:after="160"/>
      </w:pPr>
    </w:p>
    <w:p>
      <w:pPr>
        <w:spacing w:after="160" w:line="276"/>
      </w:pPr>
      <w:r>
        <w:rPr>
          <w:rFonts w:ascii="Calibri" w:cs="Calibri" w:eastAsia="Calibri" w:hAnsi="Calibri"/>
          <w:sz w:val="22"/>
          <w:szCs w:val="22"/>
        </w:rPr>
        <w:t xml:space="preserve">Applicable Regulations: - EU Regulation 2023/956, Articles 3–9: Scope, categories of goods, transitional rules. Battery materials (lithium hydroxide) explicitly covered. [5] - Implementing Regulation 2023/1773: Transitional methodology for emissions reporting (currently active). [5] - Article 30 Review Clause: Permits scope expansion to additional battery raw materials (lithium carbonate, nickel, cobalt hydroxide) post-2026. Current status: PROPOSED. [5]</w:t>
      </w:r>
    </w:p>
    <w:p>
      <w:pPr>
        <w:spacing w:after="160" w:line="276"/>
      </w:pPr>
      <w:r>
        <w:rPr>
          <w:rFonts w:ascii="Calibri" w:cs="Calibri" w:eastAsia="Calibri" w:hAnsi="Calibri"/>
          <w:sz w:val="22"/>
          <w:szCs w:val="22"/>
        </w:rPr>
        <w:t xml:space="preserve">Implications: Importers must establish carbon footprint accounting systems by Q4 2025 to avoid penalties. Non-compliance results in loss of CBAM certificate coverage and potential tariff surcharges. EU Customs will enforce declarations on a shipment-by-shipment basis starting 1 Jan 2026.</w:t>
      </w:r>
    </w:p>
    <w:p>
      <w:pPr>
        <w:pStyle w:val="Heading2"/>
        <w:spacing w:after="160" w:before="360"/>
      </w:pPr>
      <w:r>
        <w:rPr>
          <w:rFonts w:ascii="Calibri" w:cs="Calibri" w:eastAsia="Calibri" w:hAnsi="Calibri"/>
          <w:b/>
          <w:bCs/>
          <w:sz w:val="32"/>
          <w:szCs w:val="32"/>
        </w:rPr>
        <w:t xml:space="preserve">What to Watch</w:t>
      </w:r>
    </w:p>
    <w:p>
      <w:pPr>
        <w:pStyle w:val="ListParagraph"/>
        <w:numPr>
          <w:ilvl w:val="0"/>
          <w:numId w:val="2"/>
        </w:numPr>
        <w:spacing w:after="80"/>
      </w:pPr>
      <w:r>
        <w:rPr>
          <w:rFonts w:ascii="Calibri" w:cs="Calibri" w:eastAsia="Calibri" w:hAnsi="Calibri"/>
          <w:sz w:val="22"/>
          <w:szCs w:val="22"/>
        </w:rPr>
        <w:t xml:space="preserve">EU Commission CBAM Carbon Intensity Methodology Release (30–90 days): Watch for official publication of default carbon intensity factors for lithium hydroxide (HS 2825.10). If the Commission assigns a high default factor (&gt;12 tCO2/t), importers facing LCA costs will accelerate supplier negotiations. Current ambiguity creates pricing volatility.  [5]</w:t>
      </w:r>
    </w:p>
    <w:p>
      <w:pPr>
        <w:pStyle w:val="ListParagraph"/>
        <w:numPr>
          <w:ilvl w:val="0"/>
          <w:numId w:val="2"/>
        </w:numPr>
        <w:spacing w:after="80"/>
      </w:pPr>
      <w:r>
        <w:rPr>
          <w:rFonts w:ascii="Calibri" w:cs="Calibri" w:eastAsia="Calibri" w:hAnsi="Calibri"/>
          <w:sz w:val="22"/>
          <w:szCs w:val="22"/>
        </w:rPr>
        <w:t xml:space="preserve">Chinese Lithium Supplier LCA Certification Wave (60–180 days): Expect announcements of third-party carbon assessments (ISO 14040/44 LCA) from major Chinese LiOH producers (Ganfeng, CNGR, Tianqi). Suppliers with documented &lt;8 tCO2/t embedded carbon will gain pricing advantage in EU markets. Monitor for cost pass-through to buyers.  [9]</w:t>
      </w:r>
    </w:p>
    <w:p>
      <w:pPr>
        <w:pStyle w:val="ListParagraph"/>
        <w:numPr>
          <w:ilvl w:val="0"/>
          <w:numId w:val="2"/>
        </w:numPr>
        <w:spacing w:after="80"/>
      </w:pPr>
      <w:r>
        <w:rPr>
          <w:rFonts w:ascii="Calibri" w:cs="Calibri" w:eastAsia="Calibri" w:hAnsi="Calibri"/>
          <w:sz w:val="22"/>
          <w:szCs w:val="22"/>
        </w:rPr>
        <w:t xml:space="preserve">EU Battery Regulation Lithium Recycled Content Ramp-Up (90–365 days): EU Battery Regulation 2023/1542 mandates 6% recycled lithium in battery cathodes by 2031 (rising to 12% by 2036). Imported virgin LiOH will face margin pressure if recycled alternatives achieve cost parity. Monitor capacity announcements from Li-Cycle, Redwood Materials, and Umicore Hoboken.  [5], [9]</w:t>
      </w:r>
    </w:p>
    <w:p>
      <w:pPr>
        <w:pStyle w:val="ListParagraph"/>
        <w:numPr>
          <w:ilvl w:val="0"/>
          <w:numId w:val="2"/>
        </w:numPr>
        <w:spacing w:after="80"/>
      </w:pPr>
      <w:r>
        <w:rPr>
          <w:rFonts w:ascii="Calibri" w:cs="Calibri" w:eastAsia="Calibri" w:hAnsi="Calibri"/>
          <w:sz w:val="22"/>
          <w:szCs w:val="22"/>
        </w:rPr>
        <w:t xml:space="preserve">US IRA FEOC Lithium Restrictions Impact on EU OEM Strategy (180–365 days): If US battery tariffs escalate or IRA Section 30D(d) (7) FEOC restrictions tighten Chinese component access, EU OEMs may diversify lithium sourcing to non-Chinese refiners, potentially reducing CBAM exposure but increasing delivered cost. Track Tesla, BMW, and Mercedes lithium procurement policy shifts.  [1]</w:t>
      </w:r>
    </w:p>
    <w:p>
      <w:pPr>
        <w:pStyle w:val="ListParagraph"/>
        <w:numPr>
          <w:ilvl w:val="0"/>
          <w:numId w:val="2"/>
        </w:numPr>
        <w:spacing w:after="80"/>
      </w:pPr>
      <w:r>
        <w:rPr>
          <w:rFonts w:ascii="Calibri" w:cs="Calibri" w:eastAsia="Calibri" w:hAnsi="Calibri"/>
          <w:sz w:val="22"/>
          <w:szCs w:val="22"/>
        </w:rPr>
        <w:t xml:space="preserve">CBAM Scope Expansion Article 30 Review Outcome (180–365 days): The Article 30 review clause permits EC to add battery materials (lithium carbonate, nickel, cobalt) to CBAM post-2026. If approved, EU importers face multi-material CBAM compliance. Current status: PROPOSED. Decision expected in Commission roadmap by mid-2026.  [5]</w:t>
      </w:r>
    </w:p>
    <w:p>
      <w:pPr>
        <w:pBdr>
          <w:top w:val="single" w:color="CBD5E1" w:sz="1"/>
        </w:pBdr>
        <w:spacing w:before="400"/>
      </w:pPr>
    </w:p>
    <w:p>
      <w:pPr>
        <w:pStyle w:val="Heading2"/>
        <w:spacing w:after="200" w:before="200"/>
      </w:pPr>
      <w:r>
        <w:rPr>
          <w:rFonts w:ascii="Calibri" w:cs="Calibri" w:eastAsia="Calibri" w:hAnsi="Calibri"/>
          <w:b/>
          <w:bCs/>
          <w:sz w:val="32"/>
          <w:szCs w:val="32"/>
        </w:rPr>
        <w:t xml:space="preserve">Sources &amp; Citations</w:t>
      </w:r>
    </w:p>
    <w:p>
      <w:pPr>
        <w:spacing w:after="80"/>
      </w:pPr>
      <w:r>
        <w:rPr>
          <w:rFonts w:ascii="Calibri" w:cs="Calibri" w:eastAsia="Calibri" w:hAnsi="Calibri"/>
          <w:b/>
          <w:bCs/>
          <w:color w:val="C8A862"/>
          <w:sz w:val="20"/>
          <w:szCs w:val="20"/>
        </w:rPr>
        <w:t xml:space="preserve">[1]  </w:t>
      </w:r>
      <w:r>
        <w:rPr>
          <w:rFonts w:ascii="Calibri" w:cs="Calibri" w:eastAsia="Calibri" w:hAnsi="Calibri"/>
          <w:color w:val="4B5563"/>
          <w:sz w:val="20"/>
          <w:szCs w:val="20"/>
        </w:rPr>
        <w:t xml:space="preserve">Federal Register. US IRA Section 30D(d)(7) — Foreign Entity of Concern (FEOC) Restrictions. Retrieved 2026-04-16 (2026)</w:t>
      </w:r>
    </w:p>
    <w:p>
      <w:pPr>
        <w:spacing w:after="80"/>
      </w:pPr>
      <w:r>
        <w:rPr>
          <w:rFonts w:ascii="Calibri" w:cs="Calibri" w:eastAsia="Calibri" w:hAnsi="Calibri"/>
          <w:b/>
          <w:bCs/>
          <w:color w:val="C8A862"/>
          <w:sz w:val="20"/>
          <w:szCs w:val="20"/>
        </w:rPr>
        <w:t xml:space="preserve">[5]  </w:t>
      </w:r>
      <w:r>
        <w:rPr>
          <w:rFonts w:ascii="Calibri" w:cs="Calibri" w:eastAsia="Calibri" w:hAnsi="Calibri"/>
          <w:color w:val="4B5563"/>
          <w:sz w:val="20"/>
          <w:szCs w:val="20"/>
        </w:rPr>
        <w:t xml:space="preserve">European Commission. EU Regulation 2023/956 — Carbon Border Adjustment Mechanism (CBAM). Articles 3–9, 10–12, 22–27, 30. Implementing Regulation 2023/1773 (Transitional Rules). Retrieved 2026-04-16 (2023)</w:t>
      </w:r>
    </w:p>
    <w:p>
      <w:pPr>
        <w:spacing w:after="80"/>
      </w:pPr>
      <w:r>
        <w:rPr>
          <w:rFonts w:ascii="Calibri" w:cs="Calibri" w:eastAsia="Calibri" w:hAnsi="Calibri"/>
          <w:b/>
          <w:bCs/>
          <w:color w:val="C8A862"/>
          <w:sz w:val="20"/>
          <w:szCs w:val="20"/>
        </w:rPr>
        <w:t xml:space="preserve">[6]  </w:t>
      </w:r>
      <w:r>
        <w:rPr>
          <w:rFonts w:ascii="Calibri" w:cs="Calibri" w:eastAsia="Calibri" w:hAnsi="Calibri"/>
          <w:color w:val="4B5563"/>
          <w:sz w:val="20"/>
          <w:szCs w:val="20"/>
        </w:rPr>
        <w:t xml:space="preserve">LME. Lithium Hydroxide settlement prices. Data period: April 16, 2026. Price: $23,000/t. Retrieved 2026-04-16 (2026)</w:t>
      </w:r>
    </w:p>
    <w:p>
      <w:pPr>
        <w:spacing w:after="80"/>
      </w:pPr>
      <w:r>
        <w:rPr>
          <w:rFonts w:ascii="Calibri" w:cs="Calibri" w:eastAsia="Calibri" w:hAnsi="Calibri"/>
          <w:b/>
          <w:bCs/>
          <w:color w:val="C8A862"/>
          <w:sz w:val="20"/>
          <w:szCs w:val="20"/>
        </w:rPr>
        <w:t xml:space="preserve">[9]  </w:t>
      </w:r>
      <w:r>
        <w:rPr>
          <w:rFonts w:ascii="Calibri" w:cs="Calibri" w:eastAsia="Calibri" w:hAnsi="Calibri"/>
          <w:color w:val="4B5563"/>
          <w:sz w:val="20"/>
          <w:szCs w:val="20"/>
        </w:rPr>
        <w:t xml:space="preserve">LodeIQ Knowledge Graph. Lithium Hydroxide trade flows (China). Data period: unspecified. Retrieved 2026-04-16. Bilateral flows: China→Germany 18,000 t/yr; China→South Korea 42,000 t/yr; China→Japan ~4,800 t/yr (inferred); China→United States 132.5 t/yr; China→Switzerland 1,088.4 t/yr. Supply chain facilities: Li-Cycle Rochester Hub (35,000 t/yr), Redwood Materials Nevada (100,000 t/yr), Albemarle Kemerton (50,000 t/yr), Umicore Hoboken (7,000 t/yr) (2026)</w:t>
      </w:r>
    </w:p>
    <w:p>
      <w:pPr>
        <w:pBdr>
          <w:top w:val="single" w:color="E5E7EB" w:sz="1"/>
        </w:pBdr>
        <w:spacing w:before="400"/>
      </w:pPr>
    </w:p>
    <w:p>
      <w:pPr>
        <w:spacing w:after="120"/>
      </w:pPr>
      <w:r>
        <w:rPr>
          <w:rFonts w:ascii="Calibri" w:cs="Calibri" w:eastAsia="Calibri" w:hAnsi="Calibri"/>
          <w:i/>
          <w:iCs/>
          <w:color w:val="9CA3AF"/>
          <w:sz w:val="16"/>
          <w:szCs w:val="16"/>
        </w:rPr>
        <w:t xml:space="preserve">Mutual Intelligence Disclosure — This content is produced by LodeIQ Inc. for informational purposes only. It does not constitute investment advice, legal advice, or a recommendation to buy, sell, or hold any security, commodity, or financial instrument. Users should verify critical data points independently before making material business decisions.</w:t>
      </w:r>
    </w:p>
    <w:p>
      <w:pPr>
        <w:spacing w:before="200"/>
        <w:jc w:val="center"/>
      </w:pPr>
      <w:r>
        <w:rPr>
          <w:rFonts w:ascii="Calibri" w:cs="Calibri" w:eastAsia="Calibri" w:hAnsi="Calibri"/>
          <w:color w:val="9CA3AF"/>
          <w:sz w:val="16"/>
          <w:szCs w:val="16"/>
        </w:rPr>
        <w:t xml:space="preserve">LodeIQ — Ontology-driven supply chain intelligence. Generated 2026-04-16T16:53Z.</w:t>
      </w:r>
    </w:p>
    <w:sectPr>
      <w:headerReference w:type="default" r:id="rId7"/>
      <w:footerReference w:type="default" r:id="rId8"/>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rFonts w:ascii="Calibri" w:cs="Calibri" w:eastAsia="Calibri" w:hAnsi="Calibri"/>
        <w:color w:val="9CA3AF"/>
        <w:sz w:val="16"/>
        <w:szCs w:val="16"/>
      </w:rPr>
      <w:t xml:space="preserve">LIQ-202604-M-EU</w:t>
    </w:r>
    <w:r>
      <w:rPr>
        <w:rFonts w:ascii="Calibri" w:cs="Calibri" w:eastAsia="Calibri" w:hAnsi="Calibri"/>
        <w:color w:val="9CA3AF"/>
        <w:sz w:val="16"/>
        <w:szCs w:val="16"/>
      </w:rPr>
      <w:t xml:space="preserve">          Page </w:t>
    </w:r>
    <w:r>
      <w:rPr>
        <w:rFonts w:ascii="Calibri" w:cs="Calibri" w:eastAsia="Calibri" w:hAnsi="Calibri"/>
        <w:color w:val="9CA3AF"/>
        <w:sz w:val="16"/>
        <w:szCs w:val="16"/>
      </w:rPr>
      <w:fldChar w:fldCharType="begin"/>
      <w:instrText xml:space="preserve">PAGE</w:instrText>
      <w:fldChar w:fldCharType="separate"/>
      <w:fldChar w:fldCharType="end"/>
    </w:r>
    <w:r>
      <w:rPr>
        <w:rFonts w:ascii="Calibri" w:cs="Calibri" w:eastAsia="Calibri" w:hAnsi="Calibri"/>
        <w:color w:val="9CA3AF"/>
        <w:sz w:val="16"/>
        <w:szCs w:val="16"/>
      </w:rPr>
      <w:t xml:space="preserve">          2026-04-16T16:53:51.187Z</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jc w:val="left"/>
    </w:pPr>
    <w:r>
      <w:rPr>
        <w:rFonts w:ascii="Calibri" w:cs="Calibri" w:eastAsia="Calibri" w:hAnsi="Calibri"/>
        <w:b/>
        <w:bCs/>
        <w:color w:val="C8A862"/>
        <w:sz w:val="16"/>
        <w:szCs w:val="16"/>
      </w:rPr>
      <w:t xml:space="preserve">LodeIQ</w:t>
    </w:r>
    <w:r>
      <w:rPr>
        <w:rFonts w:ascii="Calibri" w:cs="Calibri" w:eastAsia="Calibri" w:hAnsi="Calibri"/>
        <w:color w:val="9CA3AF"/>
        <w:sz w:val="16"/>
        <w:szCs w:val="16"/>
      </w:rPr>
      <w:t xml:space="preserve">  |  Calculate the CBAM cost impact for importing battery-grade lithium hydroxide into the EU from China.</w:t>
    </w:r>
    <w:r>
      <w:rPr>
        <w:rFonts w:ascii="Calibri" w:cs="Calibri" w:eastAsia="Calibri" w:hAnsi="Calibri"/>
        <w:b/>
        <w:bCs/>
        <w:color w:val="C8A862"/>
        <w:sz w:val="16"/>
        <w:szCs w:val="16"/>
      </w:rPr>
      <w:t xml:space="preserve">          CONFIDENTIAL — Professional Tier</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decimal"/>
      <w:lvlText w:val="%1."/>
      <w:lvlJc w:val="start"/>
      <w:pPr>
        <w:ind w:left="72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2026-04-16T16:53:51.201Z</dcterms:created>
  <dcterms:modified xsi:type="dcterms:W3CDTF">2026-04-16T16:53:51.201Z</dcterms:modified>
</cp:coreProperties>
</file>

<file path=docProps/custom.xml><?xml version="1.0" encoding="utf-8"?>
<Properties xmlns="http://schemas.openxmlformats.org/officeDocument/2006/custom-properties" xmlns:vt="http://schemas.openxmlformats.org/officeDocument/2006/docPropsVTypes"/>
</file>